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tbl>
      <w:tblPr>
        <w:tblW w:w="9540" w:type="dxa"/>
        <w:jc w:val="center"/>
        <w:tblInd w:w="0" w:type="dxa"/>
        <w:tblLayout w:type="fixed"/>
        <w:tblCellMar>
          <w:top w:w="0" w:type="dxa"/>
          <w:left w:w="108" w:type="dxa"/>
          <w:bottom w:w="0" w:type="dxa"/>
          <w:right w:w="108" w:type="dxa"/>
        </w:tblCellMar>
      </w:tblPr>
      <w:tblGrid>
        <w:gridCol w:w="3119"/>
        <w:gridCol w:w="6420"/>
      </w:tblGrid>
      <w:tr>
        <w:trPr/>
        <w:tc>
          <w:tcPr>
            <w:tcW w:w="3119" w:type="dxa"/>
            <w:tcBorders>
              <w:bottom w:val="single" w:sz="4" w:space="0" w:color="000000"/>
            </w:tcBorders>
          </w:tcPr>
          <w:p>
            <w:pPr>
              <w:pStyle w:val="Normal"/>
              <w:widowControl w:val="false"/>
              <w:overflowPunct w:val="tru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MODALIDADE</w:t>
            </w:r>
          </w:p>
        </w:tc>
        <w:tc>
          <w:tcPr>
            <w:tcW w:w="6420" w:type="dxa"/>
            <w:tcBorders>
              <w:bottom w:val="single" w:sz="4" w:space="0" w:color="000000"/>
            </w:tcBorders>
          </w:tcPr>
          <w:p>
            <w:pPr>
              <w:pStyle w:val="Normal"/>
              <w:widowControl w:val="false"/>
              <w:overflowPunct w:val="true"/>
              <w:spacing w:lineRule="auto" w:line="240" w:before="0" w:after="0"/>
              <w:ind w:left="0" w:right="-113" w:hanging="0"/>
              <w:jc w:val="right"/>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PREGÃO ELETRÔNICO</w:t>
            </w:r>
          </w:p>
        </w:tc>
      </w:tr>
      <w:tr>
        <w:trPr/>
        <w:tc>
          <w:tcPr>
            <w:tcW w:w="3119" w:type="dxa"/>
            <w:tcBorders>
              <w:top w:val="single" w:sz="4" w:space="0" w:color="000000"/>
              <w:bottom w:val="single" w:sz="4" w:space="0" w:color="000000"/>
            </w:tcBorders>
          </w:tcPr>
          <w:p>
            <w:pPr>
              <w:pStyle w:val="Normal"/>
              <w:widowControl w:val="false"/>
              <w:overflowPunct w:val="tru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ENTIDADE PROMOTORA</w:t>
            </w:r>
          </w:p>
        </w:tc>
        <w:tc>
          <w:tcPr>
            <w:tcW w:w="6420" w:type="dxa"/>
            <w:tcBorders>
              <w:top w:val="single" w:sz="4" w:space="0" w:color="000000"/>
              <w:bottom w:val="single" w:sz="4" w:space="0" w:color="000000"/>
            </w:tcBorders>
          </w:tcPr>
          <w:p>
            <w:pPr>
              <w:pStyle w:val="Normal"/>
              <w:widowControl w:val="false"/>
              <w:overflowPunct w:val="true"/>
              <w:spacing w:lineRule="auto" w:line="240" w:before="0" w:after="0"/>
              <w:ind w:left="0" w:right="-113" w:hanging="0"/>
              <w:jc w:val="right"/>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MUNICÍPIO DE CIANORTE</w:t>
            </w:r>
          </w:p>
        </w:tc>
      </w:tr>
      <w:tr>
        <w:trPr/>
        <w:tc>
          <w:tcPr>
            <w:tcW w:w="3119" w:type="dxa"/>
            <w:tcBorders>
              <w:top w:val="single" w:sz="4" w:space="0" w:color="000000"/>
              <w:bottom w:val="single" w:sz="4" w:space="0" w:color="000000"/>
            </w:tcBorders>
          </w:tcPr>
          <w:p>
            <w:pPr>
              <w:pStyle w:val="Normal"/>
              <w:widowControl w:val="false"/>
              <w:overflowPunct w:val="tru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SOLICITANTE</w:t>
            </w:r>
          </w:p>
        </w:tc>
        <w:tc>
          <w:tcPr>
            <w:tcW w:w="6420" w:type="dxa"/>
            <w:tcBorders>
              <w:top w:val="single" w:sz="4" w:space="0" w:color="000000"/>
              <w:bottom w:val="single" w:sz="4" w:space="0" w:color="000000"/>
            </w:tcBorders>
          </w:tcPr>
          <w:p>
            <w:pPr>
              <w:pStyle w:val="Normal"/>
              <w:widowControl w:val="false"/>
              <w:overflowPunct w:val="true"/>
              <w:spacing w:lineRule="auto" w:line="240" w:before="0" w:after="0"/>
              <w:ind w:left="0" w:right="-113" w:hanging="0"/>
              <w:jc w:val="right"/>
              <w:textAlignment w:val="baseline"/>
              <w:rPr>
                <w:shd w:fill="auto" w:val="clear"/>
              </w:rPr>
            </w:pPr>
            <w:r>
              <w:rPr>
                <w:rFonts w:cs="Verdana" w:ascii="Arial" w:hAnsi="Arial"/>
                <w:b/>
                <w:bCs w:val="false"/>
                <w:iCs w:val="false"/>
                <w:color w:val="000000"/>
                <w:sz w:val="19"/>
                <w:szCs w:val="24"/>
                <w:shd w:fill="auto" w:val="clear"/>
              </w:rPr>
              <w:t>SECRETARIA MUNICIPAL DE OBRAS E SERVIÇOS PÚBLICOS</w:t>
            </w:r>
          </w:p>
        </w:tc>
      </w:tr>
      <w:tr>
        <w:trPr/>
        <w:tc>
          <w:tcPr>
            <w:tcW w:w="3119" w:type="dxa"/>
            <w:tcBorders>
              <w:bottom w:val="single" w:sz="4" w:space="0" w:color="000000"/>
            </w:tcBorders>
          </w:tcPr>
          <w:p>
            <w:pPr>
              <w:pStyle w:val="Normal"/>
              <w:widowControl w:val="false"/>
              <w:overflowPunct w:val="tru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PREFEITO DO MUNICÍPIO</w:t>
            </w:r>
          </w:p>
        </w:tc>
        <w:tc>
          <w:tcPr>
            <w:tcW w:w="6420" w:type="dxa"/>
            <w:tcBorders>
              <w:bottom w:val="single" w:sz="4" w:space="0" w:color="000000"/>
            </w:tcBorders>
          </w:tcPr>
          <w:p>
            <w:pPr>
              <w:pStyle w:val="Normal"/>
              <w:widowControl w:val="false"/>
              <w:overflowPunct w:val="true"/>
              <w:spacing w:lineRule="auto" w:line="240" w:before="0" w:after="0"/>
              <w:ind w:left="0" w:right="-113" w:hanging="0"/>
              <w:jc w:val="right"/>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MARCO ANTONIO FRANZATO</w:t>
            </w:r>
          </w:p>
        </w:tc>
      </w:tr>
    </w:tbl>
    <w:p>
      <w:pPr>
        <w:pStyle w:val="Normal"/>
        <w:spacing w:lineRule="auto" w:line="240" w:before="31" w:after="62"/>
        <w:jc w:val="both"/>
        <w:rPr>
          <w:color w:val="000000"/>
        </w:rPr>
      </w:pPr>
      <w:r>
        <w:rPr>
          <w:rFonts w:ascii="Arial" w:hAnsi="Arial"/>
          <w:color w:val="000000"/>
          <w:sz w:val="19"/>
          <w:szCs w:val="19"/>
        </w:rPr>
        <w:t xml:space="preserve">O Município de Cianorte, Estado do Paraná, torna público a quem interessar possa que: Nos termos da Lei n.º 14.133/2021, </w:t>
      </w:r>
      <w:r>
        <w:rPr>
          <w:rFonts w:cs="Arial-ItalicMT" w:ascii="Arial" w:hAnsi="Arial"/>
          <w:iCs/>
          <w:color w:val="000000"/>
          <w:sz w:val="19"/>
          <w:szCs w:val="19"/>
        </w:rPr>
        <w:t>Decreto Municipal n.º 31/2023</w:t>
      </w:r>
      <w:r>
        <w:rPr>
          <w:rFonts w:eastAsia="MS Mincho;ＭＳ 明朝" w:cs="Verdana" w:ascii="Arial" w:hAnsi="Arial"/>
          <w:color w:val="000000"/>
          <w:sz w:val="19"/>
          <w:szCs w:val="19"/>
          <w:lang w:eastAsia="pt-BR"/>
        </w:rPr>
        <w:t xml:space="preserve"> e demais legislações aplicáveis</w:t>
      </w:r>
      <w:r>
        <w:rPr>
          <w:rFonts w:ascii="Arial" w:hAnsi="Arial"/>
          <w:color w:val="000000"/>
          <w:sz w:val="19"/>
          <w:szCs w:val="19"/>
        </w:rPr>
        <w:t>, que se encontra aberta licitação na modalidade Pregão, na sua forma eletrônica, mediante as condições estabelecidas neste edital.</w:t>
      </w:r>
    </w:p>
    <w:tbl>
      <w:tblPr>
        <w:tblW w:w="9642" w:type="dxa"/>
        <w:jc w:val="left"/>
        <w:tblInd w:w="57" w:type="dxa"/>
        <w:tblLayout w:type="fixed"/>
        <w:tblCellMar>
          <w:top w:w="55" w:type="dxa"/>
          <w:left w:w="55" w:type="dxa"/>
          <w:bottom w:w="55" w:type="dxa"/>
          <w:right w:w="55" w:type="dxa"/>
        </w:tblCellMar>
      </w:tblPr>
      <w:tblGrid>
        <w:gridCol w:w="3905"/>
        <w:gridCol w:w="5736"/>
      </w:tblGrid>
      <w:tr>
        <w:trPr>
          <w:trHeight w:val="283" w:hRule="atLeast"/>
        </w:trPr>
        <w:tc>
          <w:tcPr>
            <w:tcW w:w="3905" w:type="dxa"/>
            <w:tcBorders>
              <w:top w:val="single" w:sz="2" w:space="0" w:color="000000"/>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Unidade de Administração de Serviços Gerais (UASG)</w:t>
            </w:r>
          </w:p>
        </w:tc>
        <w:tc>
          <w:tcPr>
            <w:tcW w:w="5736" w:type="dxa"/>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jc w:val="center"/>
              <w:rPr>
                <w:rFonts w:ascii="Arial" w:hAnsi="Arial"/>
                <w:b/>
                <w:b/>
                <w:bCs/>
                <w:sz w:val="19"/>
                <w:szCs w:val="19"/>
              </w:rPr>
            </w:pPr>
            <w:r>
              <w:rPr>
                <w:rFonts w:ascii="Arial" w:hAnsi="Arial"/>
                <w:b/>
                <w:bCs/>
                <w:sz w:val="19"/>
                <w:szCs w:val="19"/>
              </w:rPr>
              <w:t>987505</w:t>
            </w:r>
          </w:p>
        </w:tc>
      </w:tr>
      <w:tr>
        <w:trPr>
          <w:trHeight w:val="283" w:hRule="atLeast"/>
        </w:trPr>
        <w:tc>
          <w:tcPr>
            <w:tcW w:w="3905" w:type="dxa"/>
            <w:tcBorders>
              <w:left w:val="single" w:sz="2" w:space="0" w:color="000000"/>
              <w:bottom w:val="single" w:sz="2" w:space="0" w:color="000000"/>
            </w:tcBorders>
            <w:vAlign w:val="center"/>
          </w:tcPr>
          <w:p>
            <w:pPr>
              <w:pStyle w:val="Normal"/>
              <w:widowControl w:val="false"/>
              <w:overflowPunct w:val="true"/>
              <w:spacing w:lineRule="auto" w:line="240" w:before="0" w:after="0"/>
              <w:jc w:val="center"/>
              <w:textAlignment w:val="baseline"/>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Tipo</w:t>
            </w:r>
          </w:p>
        </w:tc>
        <w:tc>
          <w:tcPr>
            <w:tcW w:w="5736" w:type="dxa"/>
            <w:tcBorders>
              <w:left w:val="single" w:sz="2" w:space="0" w:color="000000"/>
              <w:bottom w:val="single" w:sz="2" w:space="0" w:color="000000"/>
              <w:right w:val="single" w:sz="2" w:space="0" w:color="000000"/>
            </w:tcBorders>
          </w:tcPr>
          <w:p>
            <w:pPr>
              <w:pStyle w:val="Normal"/>
              <w:widowControl w:val="false"/>
              <w:spacing w:lineRule="auto" w:line="240" w:before="0" w:after="0"/>
              <w:jc w:val="center"/>
              <w:rPr/>
            </w:pPr>
            <w:r>
              <w:rPr>
                <w:rStyle w:val="LinkdaInternet"/>
                <w:rFonts w:eastAsia="Times New Roman" w:cs="Arial" w:ascii="Arial" w:hAnsi="Arial"/>
                <w:b/>
                <w:bCs/>
                <w:color w:val="000000"/>
                <w:sz w:val="19"/>
                <w:szCs w:val="19"/>
                <w:u w:val="none"/>
                <w:shd w:fill="auto" w:val="clear"/>
              </w:rPr>
              <w:t>Menor Preço por Item</w:t>
            </w:r>
          </w:p>
        </w:tc>
      </w:tr>
      <w:tr>
        <w:trPr>
          <w:trHeight w:val="283" w:hRule="atLeast"/>
        </w:trPr>
        <w:tc>
          <w:tcPr>
            <w:tcW w:w="3905" w:type="dxa"/>
            <w:tcBorders>
              <w:left w:val="single" w:sz="2" w:space="0" w:color="000000"/>
              <w:bottom w:val="single" w:sz="2" w:space="0" w:color="000000"/>
            </w:tcBorders>
            <w:vAlign w:val="center"/>
          </w:tcPr>
          <w:p>
            <w:pPr>
              <w:pStyle w:val="Normal"/>
              <w:widowControl w:val="false"/>
              <w:overflowPunct w:val="true"/>
              <w:spacing w:lineRule="auto" w:line="240" w:before="0" w:after="0"/>
              <w:jc w:val="center"/>
              <w:textAlignment w:val="baseline"/>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Do local</w:t>
            </w:r>
          </w:p>
        </w:tc>
        <w:tc>
          <w:tcPr>
            <w:tcW w:w="5736" w:type="dxa"/>
            <w:tcBorders>
              <w:left w:val="single" w:sz="2" w:space="0" w:color="000000"/>
              <w:bottom w:val="single" w:sz="2" w:space="0" w:color="000000"/>
              <w:right w:val="single" w:sz="2" w:space="0" w:color="000000"/>
            </w:tcBorders>
          </w:tcPr>
          <w:p>
            <w:pPr>
              <w:pStyle w:val="Corpodotexto"/>
              <w:widowControl w:val="false"/>
              <w:spacing w:lineRule="auto" w:line="240" w:before="31" w:after="62"/>
              <w:jc w:val="center"/>
              <w:rPr>
                <w:rFonts w:eastAsia="Times New Roman" w:cs="Arial"/>
                <w:b/>
                <w:b/>
                <w:bCs/>
                <w:color w:val="000000"/>
                <w:u w:val="none"/>
                <w:shd w:fill="auto" w:val="clear"/>
              </w:rPr>
            </w:pPr>
            <w:r>
              <w:rPr>
                <w:rFonts w:eastAsia="Times New Roman" w:cs="Arial"/>
                <w:b/>
                <w:bCs/>
                <w:color w:val="000000"/>
                <w:u w:val="none"/>
                <w:shd w:fill="auto" w:val="clear"/>
              </w:rPr>
              <w:t>Sistema de Compras do Governo Federal</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Endereço eletrônico</w:t>
            </w:r>
          </w:p>
        </w:tc>
        <w:tc>
          <w:tcPr>
            <w:tcW w:w="5736" w:type="dxa"/>
            <w:tcBorders>
              <w:left w:val="single" w:sz="2" w:space="0" w:color="000000"/>
              <w:bottom w:val="single" w:sz="2" w:space="0" w:color="000000"/>
              <w:right w:val="single" w:sz="2" w:space="0" w:color="000000"/>
            </w:tcBorders>
          </w:tcPr>
          <w:p>
            <w:pPr>
              <w:pStyle w:val="Normal"/>
              <w:widowControl w:val="false"/>
              <w:overflowPunct w:val="true"/>
              <w:spacing w:lineRule="auto" w:line="240" w:before="0" w:after="0"/>
              <w:jc w:val="center"/>
              <w:textAlignment w:val="baseline"/>
              <w:rPr/>
            </w:pPr>
            <w:r>
              <w:rPr>
                <w:rStyle w:val="LinkdaInternet"/>
                <w:rFonts w:eastAsia="Times New Roman" w:cs="Arial" w:ascii="Arial" w:hAnsi="Arial"/>
                <w:b/>
                <w:bCs/>
                <w:color w:val="000000"/>
                <w:sz w:val="19"/>
                <w:szCs w:val="19"/>
                <w:u w:val="none"/>
                <w:shd w:fill="auto" w:val="clear"/>
              </w:rPr>
              <w:t xml:space="preserve"> </w:t>
            </w:r>
            <w:hyperlink r:id="rId2">
              <w:r>
                <w:rPr>
                  <w:rFonts w:eastAsia="Times New Roman" w:cs="Arial" w:ascii="Arial" w:hAnsi="Arial"/>
                  <w:b/>
                  <w:bCs/>
                  <w:color w:val="000000"/>
                  <w:sz w:val="19"/>
                  <w:szCs w:val="19"/>
                  <w:u w:val="none"/>
                  <w:shd w:fill="auto" w:val="clear"/>
                  <w:lang w:val="zxx" w:eastAsia="zxx" w:bidi="zxx"/>
                </w:rPr>
                <w:t>www.gov.br/compras</w:t>
              </w:r>
            </w:hyperlink>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Credenciamento</w:t>
            </w:r>
          </w:p>
        </w:tc>
        <w:tc>
          <w:tcPr>
            <w:tcW w:w="5736" w:type="dxa"/>
            <w:tcBorders>
              <w:left w:val="single" w:sz="2" w:space="0" w:color="000000"/>
              <w:bottom w:val="single" w:sz="2" w:space="0" w:color="000000"/>
              <w:right w:val="single" w:sz="2" w:space="0" w:color="000000"/>
            </w:tcBorders>
          </w:tcPr>
          <w:p>
            <w:pPr>
              <w:pStyle w:val="Normal"/>
              <w:widowControl w:val="false"/>
              <w:overflowPunct w:val="true"/>
              <w:spacing w:lineRule="auto" w:line="240" w:before="0" w:after="0"/>
              <w:jc w:val="center"/>
              <w:textAlignment w:val="baseline"/>
              <w:rPr>
                <w:rFonts w:ascii="Arial" w:hAnsi="Arial"/>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Até 08:30 horas do dia 2</w:t>
            </w:r>
            <w:r>
              <w:rPr>
                <w:rFonts w:eastAsia="Times New Roman" w:cs="Verdana" w:ascii="Arial" w:hAnsi="Arial"/>
                <w:b w:val="false"/>
                <w:bCs w:val="false"/>
                <w:color w:val="000000"/>
                <w:sz w:val="19"/>
                <w:szCs w:val="19"/>
                <w:u w:val="none"/>
                <w:shd w:fill="auto" w:val="clear"/>
                <w:lang w:val="pt-BR" w:eastAsia="zh-CN" w:bidi="ar-SA"/>
              </w:rPr>
              <w:t>9</w:t>
            </w:r>
            <w:r>
              <w:rPr>
                <w:rFonts w:eastAsia="Times New Roman" w:cs="Verdana" w:ascii="Arial" w:hAnsi="Arial"/>
                <w:b w:val="false"/>
                <w:bCs w:val="false"/>
                <w:color w:val="000000"/>
                <w:sz w:val="19"/>
                <w:szCs w:val="19"/>
                <w:u w:val="none"/>
                <w:shd w:fill="auto" w:val="clear"/>
                <w:lang w:val="pt-BR" w:eastAsia="zh-CN" w:bidi="ar-SA"/>
              </w:rPr>
              <w:t>/10/2025.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Recebimento das Propostas e Habilitação</w:t>
            </w:r>
          </w:p>
        </w:tc>
        <w:tc>
          <w:tcPr>
            <w:tcW w:w="5736" w:type="dxa"/>
            <w:tcBorders>
              <w:left w:val="single" w:sz="2" w:space="0" w:color="000000"/>
              <w:bottom w:val="single" w:sz="2" w:space="0" w:color="000000"/>
              <w:right w:val="single" w:sz="2" w:space="0" w:color="000000"/>
            </w:tcBorders>
          </w:tcPr>
          <w:p>
            <w:pPr>
              <w:pStyle w:val="Normal"/>
              <w:widowControl w:val="false"/>
              <w:overflowPunct w:val="true"/>
              <w:spacing w:lineRule="auto" w:line="240" w:before="0" w:after="0"/>
              <w:jc w:val="center"/>
              <w:textAlignment w:val="baseline"/>
              <w:rPr>
                <w:rFonts w:ascii="Arial" w:hAnsi="Arial"/>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Até 08:30 horas do dia 2</w:t>
            </w:r>
            <w:r>
              <w:rPr>
                <w:rFonts w:eastAsia="Times New Roman" w:cs="Verdana" w:ascii="Arial" w:hAnsi="Arial"/>
                <w:b w:val="false"/>
                <w:bCs w:val="false"/>
                <w:color w:val="000000"/>
                <w:sz w:val="19"/>
                <w:szCs w:val="19"/>
                <w:u w:val="none"/>
                <w:shd w:fill="auto" w:val="clear"/>
                <w:lang w:val="pt-BR" w:eastAsia="zh-CN" w:bidi="ar-SA"/>
              </w:rPr>
              <w:t>9</w:t>
            </w:r>
            <w:r>
              <w:rPr>
                <w:rFonts w:eastAsia="Times New Roman" w:cs="Verdana" w:ascii="Arial" w:hAnsi="Arial"/>
                <w:b w:val="false"/>
                <w:bCs w:val="false"/>
                <w:color w:val="000000"/>
                <w:sz w:val="19"/>
                <w:szCs w:val="19"/>
                <w:u w:val="none"/>
                <w:shd w:fill="auto" w:val="clear"/>
                <w:lang w:val="pt-BR" w:eastAsia="zh-CN" w:bidi="ar-SA"/>
              </w:rPr>
              <w:t>/10/2025.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Abertura e julgamento das propostas</w:t>
            </w:r>
          </w:p>
        </w:tc>
        <w:tc>
          <w:tcPr>
            <w:tcW w:w="5736" w:type="dxa"/>
            <w:tcBorders>
              <w:left w:val="single" w:sz="2" w:space="0" w:color="000000"/>
              <w:bottom w:val="single" w:sz="2" w:space="0" w:color="000000"/>
              <w:right w:val="single" w:sz="2" w:space="0" w:color="000000"/>
            </w:tcBorders>
          </w:tcPr>
          <w:p>
            <w:pPr>
              <w:pStyle w:val="Normal"/>
              <w:widowControl w:val="false"/>
              <w:overflowPunct w:val="true"/>
              <w:spacing w:lineRule="auto" w:line="240" w:before="0" w:after="0"/>
              <w:jc w:val="center"/>
              <w:textAlignment w:val="baseline"/>
              <w:rPr>
                <w:rFonts w:ascii="Arial" w:hAnsi="Arial"/>
                <w:color w:val="000000"/>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Até 08:30 horas do dia 2</w:t>
            </w:r>
            <w:r>
              <w:rPr>
                <w:rFonts w:eastAsia="Times New Roman" w:cs="Verdana" w:ascii="Arial" w:hAnsi="Arial"/>
                <w:b w:val="false"/>
                <w:bCs w:val="false"/>
                <w:color w:val="000000"/>
                <w:sz w:val="19"/>
                <w:szCs w:val="19"/>
                <w:u w:val="none"/>
                <w:shd w:fill="auto" w:val="clear"/>
                <w:lang w:val="pt-BR" w:eastAsia="zh-CN" w:bidi="ar-SA"/>
              </w:rPr>
              <w:t>9</w:t>
            </w:r>
            <w:r>
              <w:rPr>
                <w:rFonts w:eastAsia="Times New Roman" w:cs="Verdana" w:ascii="Arial" w:hAnsi="Arial"/>
                <w:b w:val="false"/>
                <w:bCs w:val="false"/>
                <w:color w:val="000000"/>
                <w:sz w:val="19"/>
                <w:szCs w:val="19"/>
                <w:u w:val="none"/>
                <w:shd w:fill="auto" w:val="clear"/>
                <w:lang w:val="pt-BR" w:eastAsia="zh-CN" w:bidi="ar-SA"/>
              </w:rPr>
              <w:t>/10/2025.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sz w:val="19"/>
                <w:szCs w:val="19"/>
              </w:rPr>
            </w:pPr>
            <w:r>
              <w:rPr>
                <w:rFonts w:eastAsia="Times New Roman" w:cs="Verdana" w:ascii="Arial" w:hAnsi="Arial"/>
                <w:b/>
                <w:bCs/>
                <w:color w:val="000000"/>
                <w:sz w:val="19"/>
                <w:szCs w:val="19"/>
                <w:shd w:fill="auto" w:val="clear"/>
                <w:lang w:val="pt-BR" w:eastAsia="zh-CN" w:bidi="ar-SA"/>
              </w:rPr>
              <w:t>Início da sessão de disputa de preços</w:t>
            </w:r>
          </w:p>
        </w:tc>
        <w:tc>
          <w:tcPr>
            <w:tcW w:w="5736" w:type="dxa"/>
            <w:tcBorders>
              <w:left w:val="single" w:sz="2" w:space="0" w:color="000000"/>
              <w:bottom w:val="single" w:sz="2" w:space="0" w:color="000000"/>
              <w:right w:val="single" w:sz="2" w:space="0" w:color="000000"/>
            </w:tcBorders>
          </w:tcPr>
          <w:p>
            <w:pPr>
              <w:pStyle w:val="Normal"/>
              <w:widowControl w:val="false"/>
              <w:overflowPunct w:val="true"/>
              <w:spacing w:lineRule="auto" w:line="240" w:before="0" w:after="0"/>
              <w:jc w:val="center"/>
              <w:textAlignment w:val="baseline"/>
              <w:rPr>
                <w:rFonts w:ascii="Arial" w:hAnsi="Arial"/>
                <w:color w:val="000000"/>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 xml:space="preserve">A partir das </w:t>
            </w:r>
            <w:r>
              <w:rPr>
                <w:rFonts w:eastAsia="Times New Roman" w:cs="Verdana" w:ascii="Arial" w:hAnsi="Arial"/>
                <w:b w:val="false"/>
                <w:bCs w:val="false"/>
                <w:color w:val="000000"/>
                <w:kern w:val="2"/>
                <w:sz w:val="19"/>
                <w:szCs w:val="19"/>
                <w:u w:val="none"/>
                <w:shd w:fill="auto" w:val="clear"/>
                <w:lang w:val="pt-BR" w:eastAsia="zh-CN" w:bidi="ar-SA"/>
              </w:rPr>
              <w:t>08:30</w:t>
            </w:r>
            <w:r>
              <w:rPr>
                <w:rFonts w:eastAsia="Times New Roman" w:cs="Verdana" w:ascii="Arial" w:hAnsi="Arial"/>
                <w:b w:val="false"/>
                <w:bCs w:val="false"/>
                <w:color w:val="000000"/>
                <w:sz w:val="19"/>
                <w:szCs w:val="19"/>
                <w:u w:val="none"/>
                <w:shd w:fill="auto" w:val="clear"/>
                <w:lang w:val="pt-BR" w:eastAsia="zh-CN" w:bidi="ar-SA"/>
              </w:rPr>
              <w:t xml:space="preserve"> horas do dia 2</w:t>
            </w:r>
            <w:r>
              <w:rPr>
                <w:rFonts w:eastAsia="Times New Roman" w:cs="Verdana" w:ascii="Arial" w:hAnsi="Arial"/>
                <w:b w:val="false"/>
                <w:bCs w:val="false"/>
                <w:color w:val="000000"/>
                <w:sz w:val="19"/>
                <w:szCs w:val="19"/>
                <w:u w:val="none"/>
                <w:shd w:fill="auto" w:val="clear"/>
                <w:lang w:val="pt-BR" w:eastAsia="zh-CN" w:bidi="ar-SA"/>
              </w:rPr>
              <w:t>9</w:t>
            </w:r>
            <w:r>
              <w:rPr>
                <w:rFonts w:eastAsia="Times New Roman" w:cs="Verdana" w:ascii="Arial" w:hAnsi="Arial"/>
                <w:b w:val="false"/>
                <w:bCs w:val="false"/>
                <w:color w:val="000000"/>
                <w:sz w:val="19"/>
                <w:szCs w:val="19"/>
                <w:u w:val="none"/>
                <w:shd w:fill="auto" w:val="clear"/>
                <w:lang w:val="pt-BR" w:eastAsia="zh-CN" w:bidi="ar-SA"/>
              </w:rPr>
              <w:t>/10/2025.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Referência de tempo</w:t>
            </w:r>
          </w:p>
        </w:tc>
        <w:tc>
          <w:tcPr>
            <w:tcW w:w="5736"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Arial" w:hAnsi="Arial"/>
                <w:color w:val="000000"/>
                <w:sz w:val="19"/>
                <w:szCs w:val="19"/>
                <w:shd w:fill="auto" w:val="clear"/>
              </w:rPr>
            </w:pPr>
            <w:r>
              <w:rPr>
                <w:rFonts w:ascii="Arial" w:hAnsi="Arial"/>
                <w:color w:val="000000"/>
                <w:sz w:val="19"/>
                <w:szCs w:val="19"/>
                <w:shd w:fill="auto" w:val="clear"/>
              </w:rPr>
              <w:t>Horário de Brasília (DF).</w:t>
            </w:r>
          </w:p>
        </w:tc>
      </w:tr>
      <w:tr>
        <w:trPr/>
        <w:tc>
          <w:tcPr>
            <w:tcW w:w="9641" w:type="dxa"/>
            <w:gridSpan w:val="2"/>
            <w:tcBorders>
              <w:left w:val="single" w:sz="2" w:space="0" w:color="000000"/>
              <w:bottom w:val="single" w:sz="2" w:space="0" w:color="000000"/>
              <w:right w:val="single" w:sz="2" w:space="0" w:color="000000"/>
            </w:tcBorders>
            <w:vAlign w:val="center"/>
          </w:tcPr>
          <w:p>
            <w:pPr>
              <w:pStyle w:val="Normal"/>
              <w:widowControl w:val="false"/>
              <w:snapToGrid w:val="false"/>
              <w:spacing w:lineRule="auto" w:line="240" w:before="0" w:after="0"/>
              <w:ind w:left="0" w:right="-30" w:hanging="0"/>
              <w:jc w:val="center"/>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Não será concedido prazo para apresentação de documentos de habilitação e/ou propostas além do previamente estabelecido no edital.</w:t>
            </w:r>
          </w:p>
        </w:tc>
      </w:tr>
    </w:tbl>
    <w:p>
      <w:pPr>
        <w:pStyle w:val="Corpodotexto"/>
        <w:numPr>
          <w:ilvl w:val="0"/>
          <w:numId w:val="0"/>
        </w:numPr>
        <w:ind w:left="0" w:hanging="0"/>
        <w:rPr>
          <w:color w:val="C9211E"/>
        </w:rPr>
      </w:pPr>
      <w:r>
        <w:rPr>
          <w:color w:val="C9211E"/>
        </w:rPr>
      </w:r>
    </w:p>
    <w:p>
      <w:pPr>
        <w:pStyle w:val="Ttulo1"/>
        <w:numPr>
          <w:ilvl w:val="0"/>
          <w:numId w:val="4"/>
        </w:numPr>
        <w:shd w:val="clear" w:fill="EEEEEE"/>
        <w:spacing w:lineRule="auto" w:line="240" w:before="31" w:after="62"/>
        <w:jc w:val="center"/>
        <w:rPr>
          <w:b/>
          <w:b/>
          <w:bCs/>
          <w:color w:val="000000"/>
        </w:rPr>
      </w:pPr>
      <w:r>
        <w:rPr>
          <w:b/>
          <w:bCs/>
          <w:color w:val="000000"/>
          <w:sz w:val="19"/>
          <w:szCs w:val="19"/>
          <w:shd w:fill="auto" w:val="clear"/>
        </w:rPr>
        <w:t>DO OBJETO</w:t>
      </w:r>
    </w:p>
    <w:p>
      <w:pPr>
        <w:pStyle w:val="Normal"/>
        <w:numPr>
          <w:ilvl w:val="1"/>
          <w:numId w:val="4"/>
        </w:numPr>
        <w:overflowPunct w:val="true"/>
        <w:spacing w:lineRule="auto" w:line="240" w:before="31" w:after="62"/>
        <w:jc w:val="both"/>
        <w:textAlignment w:val="baseline"/>
        <w:rPr>
          <w:rFonts w:ascii="Arial" w:hAnsi="Arial"/>
          <w:color w:val="C9211E"/>
          <w:sz w:val="19"/>
          <w:szCs w:val="19"/>
        </w:rPr>
      </w:pPr>
      <w:r>
        <w:rPr>
          <w:rFonts w:cs="Verdana" w:ascii="Arial" w:hAnsi="Arial"/>
          <w:color w:val="000000"/>
          <w:sz w:val="19"/>
          <w:szCs w:val="19"/>
        </w:rPr>
        <w:t>A presente licitação tem por objeto a</w:t>
      </w:r>
      <w:r>
        <w:rPr>
          <w:rFonts w:cs="Verdana" w:ascii="Arial" w:hAnsi="Arial"/>
          <w:b/>
          <w:color w:val="C9211E"/>
          <w:sz w:val="19"/>
          <w:szCs w:val="19"/>
        </w:rPr>
        <w:t xml:space="preserve"> </w:t>
      </w:r>
      <w:r>
        <w:rPr>
          <w:rFonts w:cs="Verdana" w:ascii="Arial" w:hAnsi="Arial"/>
          <w:b/>
          <w:bCs/>
          <w:color w:val="FF0000"/>
          <w:sz w:val="19"/>
          <w:szCs w:val="19"/>
          <w:shd w:fill="auto" w:val="clear"/>
        </w:rPr>
        <w:t>Aquisição de roçadeira hidráulica</w:t>
      </w:r>
      <w:r>
        <w:rPr>
          <w:rFonts w:cs="Verdana" w:ascii="Arial" w:hAnsi="Arial"/>
          <w:b/>
          <w:color w:val="C9211E"/>
          <w:sz w:val="19"/>
          <w:szCs w:val="19"/>
        </w:rPr>
        <w:t xml:space="preserve">, </w:t>
      </w:r>
      <w:r>
        <w:rPr>
          <w:rFonts w:cs="Verdana" w:ascii="Arial" w:hAnsi="Arial"/>
          <w:color w:val="000000"/>
          <w:sz w:val="19"/>
          <w:szCs w:val="19"/>
        </w:rPr>
        <w:t>a fim de atender as necessidades da Prefeitura do Município de Cianorte, conforme especificações descritas no</w:t>
      </w:r>
      <w:r>
        <w:rPr>
          <w:rFonts w:cs="Verdana" w:ascii="Arial" w:hAnsi="Arial"/>
          <w:color w:val="C9211E"/>
          <w:sz w:val="19"/>
          <w:szCs w:val="19"/>
        </w:rPr>
        <w:t xml:space="preserve"> </w:t>
      </w:r>
      <w:r>
        <w:rPr>
          <w:rFonts w:cs="Verdana" w:ascii="Arial" w:hAnsi="Arial"/>
          <w:color w:val="C9211E"/>
          <w:sz w:val="19"/>
          <w:szCs w:val="19"/>
        </w:rPr>
        <w:fldChar w:fldCharType="begin"/>
      </w:r>
      <w:r>
        <w:rPr>
          <w:sz w:val="19"/>
          <w:szCs w:val="19"/>
          <w:rFonts w:cs="Verdana" w:ascii="Arial" w:hAnsi="Arial"/>
          <w:color w:val="C9211E"/>
        </w:rPr>
        <w:instrText> REF __RefHeading___Toc33410_3041975443 \h </w:instrText>
      </w:r>
      <w:r>
        <w:rPr>
          <w:sz w:val="19"/>
          <w:szCs w:val="19"/>
          <w:rFonts w:cs="Verdana" w:ascii="Arial" w:hAnsi="Arial"/>
          <w:color w:val="C9211E"/>
        </w:rPr>
        <w:fldChar w:fldCharType="separate"/>
      </w:r>
      <w:r>
        <w:rPr>
          <w:sz w:val="19"/>
          <w:szCs w:val="19"/>
          <w:rFonts w:cs="Verdana" w:ascii="Arial" w:hAnsi="Arial"/>
          <w:color w:val="C9211E"/>
        </w:rPr>
        <w:t>ANEXO II</w:t>
      </w:r>
      <w:r>
        <w:rPr>
          <w:sz w:val="19"/>
          <w:szCs w:val="19"/>
          <w:rFonts w:cs="Verdana" w:ascii="Arial" w:hAnsi="Arial"/>
          <w:color w:val="C9211E"/>
        </w:rPr>
        <w:fldChar w:fldCharType="end"/>
      </w:r>
      <w:r>
        <w:rPr>
          <w:rFonts w:cs="Verdana" w:ascii="Arial" w:hAnsi="Arial"/>
          <w:color w:val="C9211E"/>
          <w:sz w:val="19"/>
          <w:szCs w:val="19"/>
        </w:rPr>
        <w:t>.</w:t>
      </w:r>
    </w:p>
    <w:p>
      <w:pPr>
        <w:pStyle w:val="Normal"/>
        <w:numPr>
          <w:ilvl w:val="1"/>
          <w:numId w:val="4"/>
        </w:numPr>
        <w:overflowPunct w:val="true"/>
        <w:spacing w:lineRule="auto" w:line="240" w:before="31" w:after="62"/>
        <w:jc w:val="both"/>
        <w:textAlignment w:val="baseline"/>
        <w:rPr>
          <w:rFonts w:ascii="Arial" w:hAnsi="Arial" w:cs="Verdana"/>
          <w:color w:val="C9211E"/>
          <w:sz w:val="19"/>
          <w:szCs w:val="19"/>
        </w:rPr>
      </w:pPr>
      <w:r>
        <w:rPr>
          <w:rFonts w:cs="Verdana" w:ascii="Arial" w:hAnsi="Arial"/>
          <w:color w:val="000000"/>
          <w:sz w:val="19"/>
          <w:szCs w:val="19"/>
        </w:rPr>
        <w:t xml:space="preserve">Órgão participante do presente procedimento: </w:t>
      </w:r>
    </w:p>
    <w:tbl>
      <w:tblPr>
        <w:tblW w:w="9568" w:type="dxa"/>
        <w:jc w:val="left"/>
        <w:tblInd w:w="78" w:type="dxa"/>
        <w:tblLayout w:type="fixed"/>
        <w:tblCellMar>
          <w:top w:w="0" w:type="dxa"/>
          <w:left w:w="108" w:type="dxa"/>
          <w:bottom w:w="0" w:type="dxa"/>
          <w:right w:w="108" w:type="dxa"/>
        </w:tblCellMar>
      </w:tblPr>
      <w:tblGrid>
        <w:gridCol w:w="4745"/>
        <w:gridCol w:w="4822"/>
      </w:tblGrid>
      <w:tr>
        <w:trPr/>
        <w:tc>
          <w:tcPr>
            <w:tcW w:w="4745"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shd w:fill="auto" w:val="clear"/>
              </w:rPr>
            </w:pPr>
            <w:r>
              <w:rPr>
                <w:rFonts w:ascii="Arial" w:hAnsi="Arial"/>
                <w:sz w:val="14"/>
                <w:szCs w:val="14"/>
                <w:shd w:fill="auto" w:val="clear"/>
              </w:rPr>
              <w:t>CENTRO DE CUSTO</w:t>
            </w:r>
          </w:p>
        </w:tc>
        <w:tc>
          <w:tcPr>
            <w:tcW w:w="4822"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CÓDIGO</w:t>
            </w:r>
          </w:p>
        </w:tc>
      </w:tr>
      <w:tr>
        <w:trPr/>
        <w:tc>
          <w:tcPr>
            <w:tcW w:w="474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SECRETARIA DE SERVIÇOS MUNICIPAIS</w:t>
            </w:r>
          </w:p>
        </w:tc>
        <w:tc>
          <w:tcPr>
            <w:tcW w:w="482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w:t>
            </w:r>
          </w:p>
        </w:tc>
      </w:tr>
    </w:tbl>
    <w:p>
      <w:pPr>
        <w:pStyle w:val="Normal"/>
        <w:overflowPunct w:val="true"/>
        <w:spacing w:lineRule="auto" w:line="240" w:before="0" w:after="0"/>
        <w:jc w:val="both"/>
        <w:textAlignment w:val="baseline"/>
        <w:rPr>
          <w:rFonts w:ascii="Arial" w:hAnsi="Arial"/>
          <w:color w:val="C9211E"/>
          <w:sz w:val="19"/>
          <w:szCs w:val="19"/>
          <w:shd w:fill="auto" w:val="clear"/>
        </w:rPr>
      </w:pPr>
      <w:r>
        <w:rPr>
          <w:rFonts w:ascii="Arial" w:hAnsi="Arial"/>
          <w:color w:val="C9211E"/>
          <w:sz w:val="19"/>
          <w:szCs w:val="19"/>
          <w:shd w:fill="auto" w:val="clear"/>
        </w:rPr>
      </w:r>
    </w:p>
    <w:p>
      <w:pPr>
        <w:pStyle w:val="Normal"/>
        <w:numPr>
          <w:ilvl w:val="1"/>
          <w:numId w:val="4"/>
        </w:numPr>
        <w:overflowPunct w:val="true"/>
        <w:spacing w:lineRule="auto" w:line="240" w:before="31" w:after="62"/>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A divulgação do orçamento estimado não terá caráter sigiloso, sendo disponibilizado em arquivo à parte no momento da publicação do edital.</w:t>
      </w:r>
    </w:p>
    <w:p>
      <w:pPr>
        <w:pStyle w:val="Normal"/>
        <w:numPr>
          <w:ilvl w:val="0"/>
          <w:numId w:val="0"/>
        </w:numPr>
        <w:overflowPunct w:val="true"/>
        <w:spacing w:lineRule="auto" w:line="240" w:before="31" w:after="62"/>
        <w:ind w:left="0" w:hanging="0"/>
        <w:jc w:val="both"/>
        <w:textAlignment w:val="baseline"/>
        <w:rPr>
          <w:rFonts w:ascii="Arial" w:hAnsi="Arial" w:cs="Verdana"/>
          <w:color w:val="C9211E"/>
          <w:sz w:val="19"/>
          <w:szCs w:val="19"/>
          <w:shd w:fill="FF0000" w:val="clear"/>
        </w:rPr>
      </w:pPr>
      <w:r>
        <w:rPr>
          <w:rFonts w:cs="Verdana" w:ascii="Arial" w:hAnsi="Arial"/>
          <w:color w:val="C9211E"/>
          <w:sz w:val="19"/>
          <w:szCs w:val="19"/>
          <w:shd w:fill="FF0000" w:val="clear"/>
        </w:rPr>
      </w:r>
    </w:p>
    <w:p>
      <w:pPr>
        <w:pStyle w:val="Ttulo1"/>
        <w:numPr>
          <w:ilvl w:val="0"/>
          <w:numId w:val="4"/>
        </w:numPr>
        <w:shd w:val="clear" w:fill="EEEEEE"/>
        <w:spacing w:lineRule="auto" w:line="240" w:before="31" w:after="62"/>
        <w:jc w:val="center"/>
        <w:rPr>
          <w:rFonts w:ascii="Arial" w:hAnsi="Arial"/>
          <w:color w:val="000000"/>
          <w:shd w:fill="auto" w:val="clear"/>
        </w:rPr>
      </w:pPr>
      <w:r>
        <w:rPr>
          <w:color w:val="000000"/>
          <w:shd w:fill="auto" w:val="clear"/>
        </w:rPr>
        <w:t>DO VALOR ESTIMADO E DA DOTAÇÃO ORÇAMENTÁRIA</w:t>
      </w:r>
    </w:p>
    <w:p>
      <w:pPr>
        <w:pStyle w:val="Corpodotexto"/>
        <w:numPr>
          <w:ilvl w:val="1"/>
          <w:numId w:val="4"/>
        </w:numPr>
        <w:spacing w:lineRule="auto" w:line="240" w:before="31" w:after="62"/>
        <w:rPr>
          <w:color w:val="000000"/>
        </w:rPr>
      </w:pPr>
      <w:r>
        <w:rPr>
          <w:color w:val="000000"/>
          <w:shd w:fill="auto" w:val="clear"/>
        </w:rPr>
        <w:t xml:space="preserve">O valor máximo estimado do presente edital é de </w:t>
      </w:r>
      <w:r>
        <w:rPr>
          <w:color w:val="FF0000"/>
          <w:shd w:fill="auto" w:val="clear"/>
        </w:rPr>
        <w:t>R$ 21.040,64 (vinte e um mil e quarenta reais e sessenta e quatro centavos)</w:t>
      </w:r>
      <w:r>
        <w:rPr>
          <w:color w:val="000000"/>
          <w:shd w:fill="auto" w:val="clear"/>
        </w:rPr>
        <w:t>.</w:t>
      </w:r>
    </w:p>
    <w:p>
      <w:pPr>
        <w:pStyle w:val="Normal"/>
        <w:numPr>
          <w:ilvl w:val="1"/>
          <w:numId w:val="4"/>
        </w:numPr>
        <w:spacing w:lineRule="auto" w:line="240" w:before="31" w:after="62"/>
        <w:jc w:val="both"/>
        <w:rPr>
          <w:rFonts w:ascii="Arial" w:hAnsi="Arial"/>
          <w:color w:val="000000"/>
          <w:sz w:val="19"/>
          <w:szCs w:val="19"/>
        </w:rPr>
      </w:pPr>
      <w:r>
        <w:rPr>
          <w:rFonts w:ascii="Arial" w:hAnsi="Arial"/>
          <w:color w:val="000000"/>
          <w:sz w:val="19"/>
          <w:szCs w:val="19"/>
        </w:rPr>
        <w:t>As despesas correrão por conta das seguintes dotações orçamentárias:</w:t>
      </w:r>
    </w:p>
    <w:tbl>
      <w:tblPr>
        <w:tblW w:w="9504" w:type="dxa"/>
        <w:jc w:val="left"/>
        <w:tblInd w:w="141" w:type="dxa"/>
        <w:tblLayout w:type="fixed"/>
        <w:tblCellMar>
          <w:top w:w="0" w:type="dxa"/>
          <w:left w:w="108" w:type="dxa"/>
          <w:bottom w:w="0" w:type="dxa"/>
          <w:right w:w="108" w:type="dxa"/>
        </w:tblCellMar>
      </w:tblPr>
      <w:tblGrid>
        <w:gridCol w:w="2271"/>
        <w:gridCol w:w="2410"/>
        <w:gridCol w:w="2411"/>
        <w:gridCol w:w="2411"/>
      </w:tblGrid>
      <w:tr>
        <w:trPr/>
        <w:tc>
          <w:tcPr>
            <w:tcW w:w="227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REDUZIDO</w:t>
            </w:r>
          </w:p>
        </w:tc>
        <w:tc>
          <w:tcPr>
            <w:tcW w:w="2410"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PROGRAMÁTICA</w:t>
            </w:r>
          </w:p>
        </w:tc>
        <w:tc>
          <w:tcPr>
            <w:tcW w:w="241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DESCRIÇÃO</w:t>
            </w:r>
          </w:p>
        </w:tc>
        <w:tc>
          <w:tcPr>
            <w:tcW w:w="241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FONTE DE RECURSO</w:t>
            </w:r>
          </w:p>
        </w:tc>
      </w:tr>
      <w:tr>
        <w:trPr/>
        <w:tc>
          <w:tcPr>
            <w:tcW w:w="227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713</w:t>
            </w:r>
          </w:p>
        </w:tc>
        <w:tc>
          <w:tcPr>
            <w:tcW w:w="241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227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709</w:t>
            </w:r>
          </w:p>
        </w:tc>
        <w:tc>
          <w:tcPr>
            <w:tcW w:w="241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227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713</w:t>
            </w:r>
          </w:p>
        </w:tc>
        <w:tc>
          <w:tcPr>
            <w:tcW w:w="241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3501</w:t>
            </w:r>
          </w:p>
        </w:tc>
      </w:tr>
      <w:tr>
        <w:trPr/>
        <w:tc>
          <w:tcPr>
            <w:tcW w:w="227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709</w:t>
            </w:r>
          </w:p>
        </w:tc>
        <w:tc>
          <w:tcPr>
            <w:tcW w:w="241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3501</w:t>
            </w:r>
          </w:p>
        </w:tc>
      </w:tr>
    </w:tbl>
    <w:p>
      <w:pPr>
        <w:pStyle w:val="Normal"/>
        <w:numPr>
          <w:ilvl w:val="0"/>
          <w:numId w:val="0"/>
        </w:numPr>
        <w:spacing w:lineRule="auto" w:line="240" w:before="88" w:after="119"/>
        <w:ind w:left="0" w:hanging="0"/>
        <w:jc w:val="both"/>
        <w:rPr>
          <w:rFonts w:ascii="Arial" w:hAnsi="Arial"/>
          <w:color w:val="000000"/>
          <w:sz w:val="19"/>
          <w:szCs w:val="19"/>
        </w:rPr>
      </w:pPr>
      <w:r>
        <w:rPr>
          <w:rFonts w:ascii="Arial" w:hAnsi="Arial"/>
          <w:color w:val="000000"/>
          <w:sz w:val="19"/>
          <w:szCs w:val="19"/>
        </w:rPr>
      </w:r>
    </w:p>
    <w:p>
      <w:pPr>
        <w:pStyle w:val="Ttulo1"/>
        <w:numPr>
          <w:ilvl w:val="0"/>
          <w:numId w:val="4"/>
        </w:numPr>
        <w:shd w:val="clear" w:fill="EEEEEE"/>
        <w:spacing w:lineRule="auto" w:line="240" w:before="31" w:after="62"/>
        <w:jc w:val="center"/>
        <w:rPr>
          <w:color w:val="000000"/>
        </w:rPr>
      </w:pPr>
      <w:bookmarkStart w:id="0" w:name="__RefHeading___Toc19206_165296459"/>
      <w:bookmarkEnd w:id="0"/>
      <w:r>
        <w:rPr>
          <w:color w:val="000000"/>
        </w:rPr>
        <w:t>DAS CONDIÇÕES DE PARTICIPAÇÃO</w:t>
      </w:r>
    </w:p>
    <w:p>
      <w:pPr>
        <w:pStyle w:val="Corpodotexto"/>
        <w:numPr>
          <w:ilvl w:val="1"/>
          <w:numId w:val="4"/>
        </w:numPr>
        <w:spacing w:lineRule="auto" w:line="240" w:before="31" w:after="62"/>
        <w:jc w:val="both"/>
        <w:rPr>
          <w:color w:val="000000"/>
        </w:rPr>
      </w:pPr>
      <w:r>
        <w:rPr>
          <w:rFonts w:eastAsia="Times New Roman" w:cs="Times New Roman"/>
          <w:color w:val="000000"/>
          <w:sz w:val="19"/>
          <w:szCs w:val="19"/>
          <w:shd w:fill="auto" w:val="clear"/>
        </w:rPr>
        <w:t xml:space="preserve"> </w:t>
      </w:r>
      <w:r>
        <w:rPr>
          <w:rFonts w:eastAsia="Times New Roman" w:cs="Times New Roman"/>
          <w:color w:val="000000"/>
          <w:sz w:val="19"/>
          <w:szCs w:val="19"/>
          <w:shd w:fill="auto" w:val="clear"/>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pPr>
        <w:pStyle w:val="Corpodotexto"/>
        <w:numPr>
          <w:ilvl w:val="1"/>
          <w:numId w:val="4"/>
        </w:numPr>
        <w:spacing w:lineRule="auto" w:line="240" w:before="31" w:after="62"/>
        <w:jc w:val="both"/>
        <w:rPr/>
      </w:pPr>
      <w:r>
        <w:rPr/>
        <w:t>Os interessados deverão atender às condições exigidas no cadastramento no Sicaf até o terceiro dia útil anterior à data prevista para recebimento das propostas.</w:t>
      </w:r>
    </w:p>
    <w:p>
      <w:pPr>
        <w:pStyle w:val="Corpodotexto"/>
        <w:numPr>
          <w:ilvl w:val="1"/>
          <w:numId w:val="4"/>
        </w:numPr>
        <w:spacing w:lineRule="auto" w:line="240" w:before="31" w:after="62"/>
        <w:jc w:val="both"/>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Corpodotexto"/>
        <w:numPr>
          <w:ilvl w:val="1"/>
          <w:numId w:val="4"/>
        </w:numPr>
        <w:spacing w:lineRule="auto" w:line="240" w:before="31" w:after="62"/>
        <w:jc w:val="both"/>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Corpodotexto"/>
        <w:numPr>
          <w:ilvl w:val="1"/>
          <w:numId w:val="4"/>
        </w:numPr>
        <w:spacing w:lineRule="auto" w:line="240" w:before="31" w:after="62"/>
        <w:jc w:val="both"/>
        <w:rPr/>
      </w:pPr>
      <w:r>
        <w:rPr/>
        <w:t xml:space="preserve">A não observância do disposto no item anterior poderá ensejar desclassificação no momento da habilitação. </w:t>
      </w:r>
    </w:p>
    <w:p>
      <w:pPr>
        <w:pStyle w:val="Corpodotexto"/>
        <w:numPr>
          <w:ilvl w:val="1"/>
          <w:numId w:val="4"/>
        </w:numPr>
        <w:spacing w:lineRule="auto" w:line="240" w:before="31" w:after="62"/>
        <w:jc w:val="both"/>
        <w:rPr/>
      </w:pPr>
      <w:r>
        <w:rPr/>
        <w:t>Não poderão disputar licitação ou participar da execução de contrato, direta ou indiretamente:</w:t>
      </w:r>
    </w:p>
    <w:p>
      <w:pPr>
        <w:pStyle w:val="Corpodotexto"/>
        <w:numPr>
          <w:ilvl w:val="4"/>
          <w:numId w:val="4"/>
        </w:numPr>
        <w:spacing w:lineRule="auto" w:line="240" w:before="31" w:after="62"/>
        <w:jc w:val="both"/>
        <w:rPr/>
      </w:pPr>
      <w:r>
        <w:rPr/>
        <w:t>Autor do anteprojeto, do projeto básico ou do projeto executivo, pessoa física ou jurídica, quando a licitação versar sobre obra, serviços ou fornecimento de bens a ele relacionados;</w:t>
      </w:r>
    </w:p>
    <w:p>
      <w:pPr>
        <w:pStyle w:val="Corpodotexto"/>
        <w:numPr>
          <w:ilvl w:val="4"/>
          <w:numId w:val="4"/>
        </w:numPr>
        <w:spacing w:lineRule="auto" w:line="240" w:before="31" w:after="62"/>
        <w:jc w:val="both"/>
        <w:rPr/>
      </w:pPr>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pPr>
        <w:pStyle w:val="Corpodotexto"/>
        <w:numPr>
          <w:ilvl w:val="4"/>
          <w:numId w:val="4"/>
        </w:numPr>
        <w:spacing w:lineRule="auto" w:line="240" w:before="31" w:after="62"/>
        <w:jc w:val="both"/>
        <w:rPr/>
      </w:pPr>
      <w:r>
        <w:rPr/>
        <w:t>Pessoa física ou jurídica que se encontre, ao tempo da licitação, impossibilitada de participar da licitação em decorrência de sanção que lhe foi imposta;</w:t>
      </w:r>
    </w:p>
    <w:p>
      <w:pPr>
        <w:pStyle w:val="Corpodotexto"/>
        <w:numPr>
          <w:ilvl w:val="4"/>
          <w:numId w:val="4"/>
        </w:numPr>
        <w:spacing w:lineRule="auto" w:line="240" w:before="31" w:after="62"/>
        <w:jc w:val="both"/>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pPr>
        <w:pStyle w:val="Corpodotexto"/>
        <w:numPr>
          <w:ilvl w:val="4"/>
          <w:numId w:val="4"/>
        </w:numPr>
        <w:spacing w:lineRule="auto" w:line="240" w:before="31" w:after="62"/>
        <w:jc w:val="both"/>
        <w:rPr/>
      </w:pPr>
      <w:r>
        <w:rPr/>
        <w:t>Empresas controladoras, controladas ou coligadas, nos termos da Lei nº 6.404, de 15 de dezembro de 1976, concorrendo entre si;</w:t>
      </w:r>
    </w:p>
    <w:p>
      <w:pPr>
        <w:pStyle w:val="Corpodotexto"/>
        <w:numPr>
          <w:ilvl w:val="4"/>
          <w:numId w:val="4"/>
        </w:numPr>
        <w:spacing w:lineRule="auto" w:line="240" w:before="31" w:after="62"/>
        <w:jc w:val="both"/>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Corpodotexto"/>
        <w:numPr>
          <w:ilvl w:val="0"/>
          <w:numId w:val="0"/>
        </w:numPr>
        <w:spacing w:lineRule="auto" w:line="240" w:before="31" w:after="62"/>
        <w:ind w:left="0" w:hanging="0"/>
        <w:jc w:val="both"/>
        <w:rPr>
          <w:color w:val="000000"/>
        </w:rPr>
      </w:pPr>
      <w:r>
        <w:rPr>
          <w:color w:val="000000"/>
        </w:rPr>
      </w:r>
    </w:p>
    <w:p>
      <w:pPr>
        <w:pStyle w:val="Ttulo1"/>
        <w:numPr>
          <w:ilvl w:val="0"/>
          <w:numId w:val="4"/>
        </w:numPr>
        <w:shd w:val="clear" w:fill="EEEEEE"/>
        <w:spacing w:lineRule="auto" w:line="240" w:before="31" w:after="62"/>
        <w:jc w:val="center"/>
        <w:rPr>
          <w:color w:val="000000"/>
          <w:shd w:fill="auto" w:val="clear"/>
        </w:rPr>
      </w:pPr>
      <w:r>
        <w:rPr>
          <w:color w:val="000000"/>
          <w:shd w:fill="auto" w:val="clear"/>
        </w:rPr>
        <w:t xml:space="preserve">DO CADASTRO DOS LICITANTES JUNTO </w:t>
      </w:r>
      <w:r>
        <w:rPr>
          <w:rFonts w:cs="Verdana"/>
          <w:color w:val="000000"/>
          <w:shd w:fill="auto" w:val="clear"/>
        </w:rPr>
        <w:t>AO COMPRAS.GOV</w:t>
      </w:r>
    </w:p>
    <w:p>
      <w:pPr>
        <w:pStyle w:val="Normal"/>
        <w:numPr>
          <w:ilvl w:val="1"/>
          <w:numId w:val="4"/>
        </w:numPr>
        <w:overflowPunct w:val="true"/>
        <w:spacing w:lineRule="auto" w:line="240" w:before="57" w:after="57"/>
        <w:jc w:val="both"/>
        <w:textAlignment w:val="baseline"/>
        <w:rPr>
          <w:rFonts w:ascii="Arial" w:hAnsi="Arial"/>
          <w:color w:val="000000"/>
          <w:sz w:val="19"/>
          <w:szCs w:val="19"/>
          <w:shd w:fill="auto" w:val="clear"/>
        </w:rPr>
      </w:pPr>
      <w:r>
        <w:rPr>
          <w:rFonts w:cs="Verdana" w:ascii="Arial" w:hAnsi="Arial"/>
          <w:b w:val="false"/>
          <w:bCs w:val="false"/>
          <w:color w:val="000000"/>
          <w:sz w:val="19"/>
          <w:szCs w:val="19"/>
          <w:shd w:fill="auto" w:val="clear"/>
        </w:rPr>
        <w:t>Poderão participar deste Pregão os interessados que estiverem previamente credenciados no Sistema de Cadastramento Unificado de Fornecedores – SICAF e perante o sistema eletrônico provido pela Secretaria de Gestão do Ministério da Economia (SEGES), por meio do sítio https://www.gov.br/compras/pt-br, conforme disposto no art. 9º da IN SEGES/MP nº 3, de 2018.</w:t>
      </w:r>
    </w:p>
    <w:p>
      <w:pPr>
        <w:pStyle w:val="Normal"/>
        <w:numPr>
          <w:ilvl w:val="1"/>
          <w:numId w:val="4"/>
        </w:numPr>
        <w:overflowPunct w:val="true"/>
        <w:spacing w:lineRule="auto" w:line="240" w:before="57" w:after="57"/>
        <w:jc w:val="both"/>
        <w:textAlignment w:val="baseline"/>
        <w:rPr>
          <w:rFonts w:ascii="Arial" w:hAnsi="Arial"/>
          <w:b w:val="false"/>
          <w:b w:val="false"/>
          <w:bCs w:val="false"/>
          <w:color w:val="000000"/>
          <w:sz w:val="19"/>
          <w:szCs w:val="19"/>
          <w:shd w:fill="auto" w:val="clear"/>
        </w:rPr>
      </w:pPr>
      <w:r>
        <w:rPr>
          <w:rFonts w:cs="Verdana" w:ascii="Arial" w:hAnsi="Arial"/>
          <w:b w:val="false"/>
          <w:bCs w:val="false"/>
          <w:color w:val="000000"/>
          <w:sz w:val="19"/>
          <w:szCs w:val="19"/>
          <w:shd w:fill="auto" w:val="clear"/>
        </w:rPr>
        <w:t>Para ter acesso ao sistema eletrônico, os interessados em participar deste Pregão deverão dispor de chave de identificação e senha pessoal, obtidas junto a Secretaria de Gestão do Ministério da Economia (SEGES), onde também deverão informar-se a respeito do seu funcionamento e regulamento, bem como receber as instruções detalhadas de sua correta utilização, de acordo com as orientações que seguem no link: https://www.gov.br/compras/pt-br/sistemas/conheca-o-compras/sicaf-digital.</w:t>
      </w:r>
    </w:p>
    <w:p>
      <w:pPr>
        <w:pStyle w:val="Normal"/>
        <w:numPr>
          <w:ilvl w:val="1"/>
          <w:numId w:val="4"/>
        </w:numPr>
        <w:overflowPunct w:val="true"/>
        <w:spacing w:lineRule="auto" w:line="240" w:before="57" w:after="57"/>
        <w:jc w:val="both"/>
        <w:textAlignment w:val="baseline"/>
        <w:rPr>
          <w:rFonts w:ascii="Arial" w:hAnsi="Arial"/>
          <w:color w:val="000000"/>
          <w:sz w:val="19"/>
          <w:szCs w:val="19"/>
          <w:shd w:fill="auto" w:val="clear"/>
        </w:rPr>
      </w:pPr>
      <w:r>
        <w:rPr>
          <w:rFonts w:cs="Verdana" w:ascii="Arial" w:hAnsi="Arial"/>
          <w:b w:val="false"/>
          <w:bCs w:val="false"/>
          <w:color w:val="000000"/>
          <w:sz w:val="19"/>
          <w:szCs w:val="19"/>
          <w:shd w:fill="auto" w:val="clear"/>
        </w:rPr>
        <w:t>O uso da senha de acesso é de responsabilidade exclusiva da licitante, incluindo qualquer transação por ela efetuada diretamente, ou por seu representante, não cabendo ao provedor do sistema ou ao Município de Cianorte a responsabilidade por eventuais danos decorrentes do uso indevido da senha, ainda que por terceiros.</w:t>
      </w:r>
    </w:p>
    <w:p>
      <w:pPr>
        <w:pStyle w:val="Corpodotexto"/>
        <w:spacing w:lineRule="auto" w:line="240" w:before="31" w:after="62"/>
        <w:jc w:val="both"/>
        <w:rPr>
          <w:color w:val="C9211E"/>
          <w:shd w:fill="auto" w:val="clear"/>
        </w:rPr>
      </w:pPr>
      <w:r>
        <w:rPr>
          <w:color w:val="C9211E"/>
          <w:shd w:fill="auto" w:val="clear"/>
        </w:rPr>
      </w:r>
    </w:p>
    <w:p>
      <w:pPr>
        <w:pStyle w:val="Ttulo1"/>
        <w:numPr>
          <w:ilvl w:val="0"/>
          <w:numId w:val="4"/>
        </w:numPr>
        <w:shd w:val="clear" w:fill="EEEEEE"/>
        <w:spacing w:lineRule="auto" w:line="240" w:before="31" w:after="62"/>
        <w:jc w:val="center"/>
        <w:rPr>
          <w:color w:val="000000"/>
          <w:shd w:fill="auto" w:val="clear"/>
        </w:rPr>
      </w:pPr>
      <w:r>
        <w:rPr>
          <w:color w:val="000000"/>
          <w:shd w:fill="auto" w:val="clear"/>
        </w:rPr>
        <w:t>DO SISTEMA ELETRÔNICO</w:t>
      </w:r>
    </w:p>
    <w:p>
      <w:pPr>
        <w:pStyle w:val="Normal"/>
        <w:numPr>
          <w:ilvl w:val="1"/>
          <w:numId w:val="4"/>
        </w:numPr>
        <w:overflowPunct w:val="true"/>
        <w:spacing w:lineRule="auto" w:line="240" w:before="31" w:after="62"/>
        <w:jc w:val="both"/>
        <w:textAlignment w:val="baseline"/>
        <w:rPr>
          <w:rFonts w:ascii="Arial" w:hAnsi="Arial"/>
          <w:color w:val="000000"/>
          <w:sz w:val="19"/>
          <w:szCs w:val="19"/>
        </w:rPr>
      </w:pPr>
      <w:r>
        <w:rPr>
          <w:rFonts w:cs="Verdana" w:ascii="Arial" w:hAnsi="Arial"/>
          <w:color w:val="000000"/>
          <w:sz w:val="19"/>
          <w:szCs w:val="19"/>
        </w:rPr>
        <w:t>O licitante será responsável por todas as transações que forem efetuadas em seu nome no sistema eletrônico, assumindo como verdadeiros, firmes e valiosos, a sua proposta e seus lances.</w:t>
      </w:r>
    </w:p>
    <w:p>
      <w:pPr>
        <w:pStyle w:val="Normal"/>
        <w:numPr>
          <w:ilvl w:val="1"/>
          <w:numId w:val="4"/>
        </w:numPr>
        <w:overflowPunct w:val="true"/>
        <w:spacing w:lineRule="auto" w:line="240" w:before="31" w:after="62"/>
        <w:jc w:val="both"/>
        <w:textAlignment w:val="baseline"/>
        <w:rPr>
          <w:rFonts w:ascii="Arial" w:hAnsi="Arial" w:cs="Verdana"/>
          <w:sz w:val="19"/>
          <w:szCs w:val="19"/>
        </w:rPr>
      </w:pPr>
      <w:r>
        <w:rPr>
          <w:rFonts w:cs="Verdana" w:ascii="Arial" w:hAnsi="Arial"/>
          <w:sz w:val="19"/>
          <w:szCs w:val="19"/>
        </w:rPr>
        <w:t>Se o sistema de pregão eletrônico ficar inacessível por problemas operacionais, com a desconexão de todos os participantes no decorrer da etapa competitiva do pregão, o certame será suspenso e retomado somente após a comunicação via e-mail aos participantes, e no próprio endereço web onde ocorria à sessão pública.</w:t>
      </w:r>
    </w:p>
    <w:p>
      <w:pPr>
        <w:pStyle w:val="Normal"/>
        <w:numPr>
          <w:ilvl w:val="1"/>
          <w:numId w:val="4"/>
        </w:numPr>
        <w:overflowPunct w:val="true"/>
        <w:spacing w:lineRule="auto" w:line="240" w:before="31" w:after="62"/>
        <w:jc w:val="both"/>
        <w:textAlignment w:val="baseline"/>
        <w:rPr>
          <w:rFonts w:ascii="Arial" w:hAnsi="Arial" w:cs="Verdana"/>
          <w:sz w:val="19"/>
          <w:szCs w:val="19"/>
        </w:rPr>
      </w:pPr>
      <w:r>
        <w:rPr>
          <w:rFonts w:cs="Verdana" w:ascii="Arial" w:hAnsi="Arial"/>
          <w:sz w:val="19"/>
          <w:szCs w:val="19"/>
        </w:rPr>
        <w:t>Incumbirá ao licitante acompanhar as operações no sistema eletrônico durante a sessão pública do pregão, ficando responsável pelo ônus decorrente da perda de negócios diante da inobservância de quaisquer mensagens emitidas pelo sistema ou de sua desconexão, inclusive no que tange ao subitem supra.</w:t>
      </w:r>
    </w:p>
    <w:p>
      <w:pPr>
        <w:pStyle w:val="Normal"/>
        <w:numPr>
          <w:ilvl w:val="1"/>
          <w:numId w:val="4"/>
        </w:numPr>
        <w:overflowPunct w:val="true"/>
        <w:spacing w:lineRule="auto" w:line="240" w:before="31" w:after="62"/>
        <w:jc w:val="both"/>
        <w:textAlignment w:val="baseline"/>
        <w:rPr>
          <w:rFonts w:ascii="Arial" w:hAnsi="Arial" w:cs="Verdana"/>
          <w:sz w:val="19"/>
          <w:szCs w:val="19"/>
        </w:rPr>
      </w:pPr>
      <w:r>
        <w:rPr>
          <w:rFonts w:cs="Verdana" w:ascii="Arial" w:hAnsi="Arial"/>
          <w:sz w:val="19"/>
          <w:szCs w:val="19"/>
        </w:rPr>
        <w:t>No caso de desconexão apenas do pregoeiro, no decorrer da etapa competitiva do pregão, o sistema eletrônico permanecerá acessível aos licitantes para recepção dos lances, retomando o pregoeiro, quando possível, sua atuação no certame, sem prejuízo dos atos realizados.</w:t>
      </w:r>
    </w:p>
    <w:p>
      <w:pPr>
        <w:pStyle w:val="Normal"/>
        <w:numPr>
          <w:ilvl w:val="1"/>
          <w:numId w:val="4"/>
        </w:numPr>
        <w:overflowPunct w:val="true"/>
        <w:spacing w:lineRule="auto" w:line="240" w:before="31" w:after="62"/>
        <w:jc w:val="both"/>
        <w:textAlignment w:val="baseline"/>
        <w:rPr>
          <w:rFonts w:ascii="Arial" w:hAnsi="Arial"/>
          <w:color w:val="000000"/>
          <w:sz w:val="19"/>
          <w:szCs w:val="19"/>
        </w:rPr>
      </w:pPr>
      <w:r>
        <w:rPr>
          <w:rFonts w:cs="Verdana" w:ascii="Arial" w:hAnsi="Arial"/>
          <w:b w:val="false"/>
          <w:bCs w:val="false"/>
          <w:color w:val="000000"/>
          <w:sz w:val="19"/>
          <w:szCs w:val="19"/>
        </w:rPr>
        <w:t>Quando a desconexão do pregoeiro persistir por tempo superior a 10 minutos, a sessão do pregão será suspensa e será reiniciado somente após comunicação via e-mail aos participantes.</w:t>
      </w:r>
    </w:p>
    <w:p>
      <w:pPr>
        <w:pStyle w:val="Normal"/>
        <w:numPr>
          <w:ilvl w:val="0"/>
          <w:numId w:val="0"/>
        </w:numPr>
        <w:overflowPunct w:val="true"/>
        <w:spacing w:lineRule="auto" w:line="240" w:before="31" w:after="62"/>
        <w:ind w:left="0" w:hanging="0"/>
        <w:jc w:val="both"/>
        <w:textAlignment w:val="baseline"/>
        <w:rPr>
          <w:rFonts w:ascii="Arial" w:hAnsi="Arial"/>
          <w:b w:val="false"/>
          <w:b w:val="false"/>
          <w:bCs w:val="false"/>
          <w:color w:val="C9211E"/>
          <w:sz w:val="19"/>
          <w:szCs w:val="19"/>
        </w:rPr>
      </w:pPr>
      <w:r>
        <w:rPr>
          <w:rFonts w:ascii="Arial" w:hAnsi="Arial"/>
          <w:b w:val="false"/>
          <w:bCs w:val="false"/>
          <w:color w:val="C9211E"/>
          <w:sz w:val="19"/>
          <w:szCs w:val="19"/>
        </w:rPr>
      </w:r>
    </w:p>
    <w:p>
      <w:pPr>
        <w:pStyle w:val="Ttulo1"/>
        <w:numPr>
          <w:ilvl w:val="0"/>
          <w:numId w:val="4"/>
        </w:numPr>
        <w:shd w:val="clear" w:fill="EEEEEE"/>
        <w:spacing w:lineRule="auto" w:line="240" w:before="31" w:after="62"/>
        <w:jc w:val="center"/>
        <w:rPr>
          <w:rFonts w:ascii="Arial" w:hAnsi="Arial"/>
          <w:color w:val="000000"/>
          <w:sz w:val="19"/>
          <w:szCs w:val="19"/>
          <w:shd w:fill="auto" w:val="clear"/>
        </w:rPr>
      </w:pPr>
      <w:r>
        <w:rPr>
          <w:color w:val="000000"/>
          <w:sz w:val="19"/>
          <w:szCs w:val="19"/>
          <w:shd w:fill="auto" w:val="clear"/>
        </w:rPr>
        <w:t>DA APRESENTAÇÃO DA PROPOSTA E DOS DOCUMENTOS DE HABILITAÇÃO</w:t>
      </w:r>
    </w:p>
    <w:p>
      <w:pPr>
        <w:pStyle w:val="Normal"/>
        <w:numPr>
          <w:ilvl w:val="1"/>
          <w:numId w:val="4"/>
        </w:numPr>
        <w:overflowPunct w:val="true"/>
        <w:spacing w:lineRule="auto" w:line="240" w:before="31" w:after="62"/>
        <w:jc w:val="both"/>
        <w:textAlignment w:val="baseline"/>
        <w:rPr>
          <w:rFonts w:ascii="Arial" w:hAnsi="Arial" w:cs="Verdana"/>
          <w:b w:val="false"/>
          <w:b w:val="false"/>
          <w:bCs w:val="false"/>
          <w:color w:val="000000"/>
          <w:sz w:val="19"/>
          <w:szCs w:val="19"/>
          <w:shd w:fill="auto" w:val="clear"/>
        </w:rPr>
      </w:pPr>
      <w:r>
        <w:rPr>
          <w:rFonts w:eastAsia="Times New Roman" w:cs="Arial-BoldMT" w:ascii="Arial" w:hAnsi="Arial"/>
          <w:b w:val="false"/>
          <w:bCs/>
          <w:color w:val="000000"/>
          <w:sz w:val="19"/>
          <w:szCs w:val="19"/>
          <w:shd w:fill="auto" w:val="clear"/>
        </w:rPr>
        <w:t>Na presente licitação, a fase de habilitação sucederá as fases de apresentação de propostas e lances e de julgamento.</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Os licitantes encaminharão, exclusivamente por meio do sistema eletrônico, a proposta com o preço, conforme o critério de julgamento adotado neste Edital, até a data e o horário estabelecidos para abertura da sessão pública.</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No cadastramento da proposta inicial, o licitante declarará, em campo próprio do sistema, que:</w:t>
      </w:r>
    </w:p>
    <w:p>
      <w:pPr>
        <w:pStyle w:val="Normal"/>
        <w:numPr>
          <w:ilvl w:val="2"/>
          <w:numId w:val="4"/>
        </w:numPr>
        <w:overflowPunct w:val="true"/>
        <w:spacing w:lineRule="auto" w:line="240" w:before="31" w:after="62"/>
        <w:jc w:val="both"/>
        <w:textAlignment w:val="baseline"/>
        <w:rPr/>
      </w:pPr>
      <w:r>
        <w:rPr>
          <w:rFonts w:eastAsia="Times New Roman" w:cs="Arial-BoldMT" w:ascii="Arial" w:hAnsi="Arial"/>
          <w:b w:val="false"/>
          <w:bCs/>
          <w:sz w:val="19"/>
          <w:szCs w:val="19"/>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ormal"/>
        <w:numPr>
          <w:ilvl w:val="2"/>
          <w:numId w:val="4"/>
        </w:numPr>
        <w:overflowPunct w:val="true"/>
        <w:spacing w:lineRule="auto" w:line="240" w:before="31" w:after="62"/>
        <w:jc w:val="both"/>
        <w:textAlignment w:val="baseline"/>
        <w:rPr/>
      </w:pPr>
      <w:r>
        <w:rPr>
          <w:rFonts w:eastAsia="Times New Roman" w:cs="Arial-BoldMT" w:ascii="Arial" w:hAnsi="Arial"/>
          <w:b w:val="false"/>
          <w:bCs/>
          <w:sz w:val="19"/>
          <w:szCs w:val="19"/>
        </w:rPr>
        <w:t>Não emprega menor de 18 anos em trabalho noturno, perigoso ou insalubre e não emprega menor de 16 anos, salvo menor, a partir de 14 anos, na condição de aprendiz, nos termos do artigo 7°, XXXIII, da Constituição;</w:t>
      </w:r>
    </w:p>
    <w:p>
      <w:pPr>
        <w:pStyle w:val="Normal"/>
        <w:numPr>
          <w:ilvl w:val="2"/>
          <w:numId w:val="4"/>
        </w:numPr>
        <w:overflowPunct w:val="true"/>
        <w:spacing w:lineRule="auto" w:line="240" w:before="31" w:after="62"/>
        <w:jc w:val="both"/>
        <w:textAlignment w:val="baseline"/>
        <w:rPr/>
      </w:pPr>
      <w:r>
        <w:rPr>
          <w:rFonts w:eastAsia="Times New Roman" w:cs="Arial-BoldMT" w:ascii="Arial" w:hAnsi="Arial"/>
          <w:b w:val="false"/>
          <w:bCs/>
          <w:sz w:val="19"/>
          <w:szCs w:val="19"/>
        </w:rPr>
        <w:t>Não possui empregados executando trabalho degradante ou forçado, observando o disposto nos incisos III e IV do art. 1º e no inciso III do art. 5º da Constituição Federal;</w:t>
      </w:r>
    </w:p>
    <w:p>
      <w:pPr>
        <w:pStyle w:val="Normal"/>
        <w:numPr>
          <w:ilvl w:val="2"/>
          <w:numId w:val="4"/>
        </w:numPr>
        <w:overflowPunct w:val="true"/>
        <w:spacing w:lineRule="auto" w:line="240" w:before="31" w:after="62"/>
        <w:jc w:val="both"/>
        <w:textAlignment w:val="baseline"/>
        <w:rPr/>
      </w:pPr>
      <w:r>
        <w:rPr>
          <w:rFonts w:eastAsia="Times New Roman" w:cs="Arial-BoldMT" w:ascii="Arial" w:hAnsi="Arial"/>
          <w:b w:val="false"/>
          <w:bCs/>
          <w:sz w:val="19"/>
          <w:szCs w:val="19"/>
        </w:rPr>
        <w:t>Cumpre as exigências de reserva de cargos para pessoa com deficiência e para reabilitado da Previdência Social, previstas em lei e em outras normas específicas.</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 licitante organizado em cooperativa deverá declarar, ainda, em campo próprio do sistema eletrônico, que cumpre os requisitos estabelecidos no artigo 16 da Lei nº 14.133, de 2021.</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 xml:space="preserve"> </w:t>
      </w:r>
      <w:r>
        <w:rPr>
          <w:rFonts w:eastAsia="Times New Roman" w:cs="Arial-BoldMT" w:ascii="Arial" w:hAnsi="Arial"/>
          <w:b w:val="false"/>
          <w:bCs/>
          <w:sz w:val="19"/>
          <w:szCs w:val="19"/>
        </w:rPr>
        <w:t>No item exclusivo para participação de microempresas e empresas de pequeno porte, a assinalação do campo “não” impedirá o prosseguimento no certame, para aquele item;</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 xml:space="preserve"> </w:t>
      </w:r>
      <w:r>
        <w:rPr>
          <w:rFonts w:eastAsia="Times New Roman" w:cs="Arial-BoldMT" w:ascii="Arial" w:hAnsi="Arial"/>
          <w:b w:val="false"/>
          <w:bCs/>
          <w:sz w:val="19"/>
          <w:szCs w:val="19"/>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Não poderá se beneficiar do tratamento jurídico diferenciado estabelecido nos arts. 42 a 49 da Lei Complementar nº 123, de 2006, a pessoa jurídica:</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de cujo capital participe outra pessoa jurídica;</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que seja filial, sucursal, agência ou representação, no País, de pessoa jurídica com sede no exterior;</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cujo titular ou sócio participe com mais de 10% (dez por cento) do capital de outra empresa não beneficiada pela Lei Complementar nº 123, de 2006, desde que a receita bruta global ultrapasse o limite de que trata o inciso II do art. 3º da referida lei;</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cujo sócio ou titular seja administrador ou equiparado de outra pessoa jurídica com fins lucrativos, desde que a receita bruta global ultrapasse o limite de que trata o inciso II do art. 3º da referida lei;</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constituída sob a forma de cooperativas, salvo as de consumo;</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que participe do capital de outra pessoa jurídica;</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resultante ou remanescente de cisão ou qualquer outra forma de desmembramento de pessoa jurídica que tenha ocorrido em um dos 5 (cinco) anos-calendário anteriores;</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constituída sob a forma de sociedade por ações.</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cujos titulares ou sócios guardem, cumulativamente, com o contratante do serviço, relação de pessoalidade, subordinação e habitualidade.</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A falsidade da declaração de que trata os iten</w:t>
      </w:r>
      <w:r>
        <w:rPr>
          <w:rFonts w:eastAsia="Times New Roman" w:cs="Arial-BoldMT" w:ascii="Arial" w:hAnsi="Arial"/>
          <w:b w:val="false"/>
          <w:bCs/>
          <w:sz w:val="19"/>
          <w:szCs w:val="19"/>
          <w:shd w:fill="auto" w:val="clear"/>
        </w:rPr>
        <w:t xml:space="preserve">s </w:t>
      </w:r>
      <w:r>
        <w:rPr>
          <w:rFonts w:eastAsia="Times New Roman" w:cs="Arial-BoldMT" w:ascii="Arial" w:hAnsi="Arial"/>
          <w:b w:val="false"/>
          <w:bCs/>
          <w:color w:val="FF0000"/>
          <w:sz w:val="19"/>
          <w:szCs w:val="19"/>
          <w:shd w:fill="auto" w:val="clear"/>
        </w:rPr>
        <w:t>6.3.</w:t>
      </w:r>
      <w:r>
        <w:rPr>
          <w:rFonts w:eastAsia="Times New Roman" w:cs="Arial-BoldMT" w:ascii="Arial" w:hAnsi="Arial"/>
          <w:b w:val="false"/>
          <w:bCs/>
          <w:sz w:val="19"/>
          <w:szCs w:val="19"/>
          <w:shd w:fill="auto" w:val="clear"/>
        </w:rPr>
        <w:t xml:space="preserve"> ou </w:t>
      </w:r>
      <w:r>
        <w:rPr>
          <w:rFonts w:eastAsia="Times New Roman" w:cs="Arial-BoldMT" w:ascii="Arial" w:hAnsi="Arial"/>
          <w:b w:val="false"/>
          <w:bCs/>
          <w:color w:val="FF0000"/>
          <w:sz w:val="19"/>
          <w:szCs w:val="19"/>
          <w:shd w:fill="auto" w:val="clear"/>
        </w:rPr>
        <w:t>6.5.</w:t>
      </w:r>
      <w:r>
        <w:rPr>
          <w:rFonts w:eastAsia="Times New Roman" w:cs="Arial-BoldMT" w:ascii="Arial" w:hAnsi="Arial"/>
          <w:b w:val="false"/>
          <w:bCs/>
          <w:sz w:val="19"/>
          <w:szCs w:val="19"/>
          <w:shd w:fill="auto" w:val="clear"/>
        </w:rPr>
        <w:t xml:space="preserve"> su</w:t>
      </w:r>
      <w:r>
        <w:rPr>
          <w:rFonts w:eastAsia="Times New Roman" w:cs="Arial-BoldMT" w:ascii="Arial" w:hAnsi="Arial"/>
          <w:b w:val="false"/>
          <w:bCs/>
          <w:sz w:val="19"/>
          <w:szCs w:val="19"/>
        </w:rPr>
        <w:t>jeitará o licitante às sanções previstas na Lei nº 14.133, de 2021, e neste Edital.</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Não haverá ordem de classificação na etapa de apresentação da proposta e dos documentos de habilitação pelo licitante, o que ocorrerá somente após os procedimentos de abertura da sessão pública e da fase de envio de lances.</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Serão disponibilizados para acesso público os documentos que compõem a proposta dos licitantes convocados para apresentação de propostas, após a fase de envio de lances.</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Desde que disponibilizada a funcionalidade no sistema, o licitante poderá parametrizar o seu valor final mínimo ou o seu percentual de desconto máximo quando do cadastramento da proposta e obedecerá às seguintes regras:</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A aplicação do intervalo mínimo de diferença de valores ou de percentuais entre os lances, que incidirá tanto em relação aos lances intermediários quanto em relação ao lance que cobrir a melhor oferta; e</w:t>
      </w:r>
    </w:p>
    <w:p>
      <w:pPr>
        <w:pStyle w:val="Normal"/>
        <w:numPr>
          <w:ilvl w:val="2"/>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Os lances serão de envio automático pelo sistema, respeitado o valor final mínimo, caso estabelecido, e o intervalo de que trata o subitem acima.</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 valor final mínimo parametrizado no sistema poderá ser alterado pelo fornecedor durante a fase de disputa, sendo vedado valor superior a lance já registrado pelo fornecedor no sistema.</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ormal"/>
        <w:numPr>
          <w:ilvl w:val="1"/>
          <w:numId w:val="4"/>
        </w:numPr>
        <w:overflowPunct w:val="true"/>
        <w:spacing w:lineRule="auto" w:line="240" w:before="31" w:after="62"/>
        <w:jc w:val="both"/>
        <w:textAlignment w:val="baseline"/>
        <w:rPr>
          <w:rFonts w:ascii="Arial" w:hAnsi="Arial" w:eastAsia="Times New Roman" w:cs="Arial-BoldMT"/>
          <w:b w:val="false"/>
          <w:b w:val="false"/>
          <w:bCs/>
          <w:color w:val="000000"/>
          <w:sz w:val="19"/>
          <w:szCs w:val="19"/>
          <w:shd w:fill="auto" w:val="clear"/>
        </w:rPr>
      </w:pPr>
      <w:r>
        <w:rPr>
          <w:rFonts w:eastAsia="Times New Roman" w:cs="Arial-BoldMT" w:ascii="Arial" w:hAnsi="Arial"/>
          <w:b w:val="false"/>
          <w:bCs/>
          <w:color w:val="000000"/>
          <w:sz w:val="19"/>
          <w:szCs w:val="19"/>
          <w:shd w:fill="auto" w:val="clear"/>
        </w:rPr>
        <w:t>O licitante deverá comunicar imediatamente ao provedor do sistema qualquer acontecimento que possa comprometer o sigilo ou a segurança, para imediato bloqueio de acesso.</w:t>
      </w:r>
    </w:p>
    <w:p>
      <w:pPr>
        <w:pStyle w:val="Corpodotexto"/>
        <w:numPr>
          <w:ilvl w:val="1"/>
          <w:numId w:val="4"/>
        </w:numPr>
        <w:spacing w:lineRule="auto" w:line="240" w:before="31" w:after="62"/>
        <w:jc w:val="both"/>
        <w:rPr>
          <w:rFonts w:ascii="Arial" w:hAnsi="Arial"/>
          <w:sz w:val="19"/>
          <w:szCs w:val="19"/>
        </w:rPr>
      </w:pPr>
      <w:r>
        <w:rPr>
          <w:rFonts w:cs="Arial"/>
          <w:sz w:val="19"/>
          <w:szCs w:val="19"/>
        </w:rPr>
        <w:t xml:space="preserve">Se a empresa que ofertar o menor preço </w:t>
      </w:r>
      <w:r>
        <w:rPr>
          <w:rFonts w:cs="Arial"/>
          <w:b/>
          <w:bCs/>
          <w:sz w:val="19"/>
          <w:szCs w:val="19"/>
        </w:rPr>
        <w:t>não</w:t>
      </w:r>
      <w:r>
        <w:rPr>
          <w:rFonts w:cs="Arial"/>
          <w:sz w:val="19"/>
          <w:szCs w:val="19"/>
        </w:rPr>
        <w:t xml:space="preserve"> estiver enquadrada como ME/EPP/MEI, verificar-se-á a ocorrência de empate ficto nos termos da Lei </w:t>
      </w:r>
      <w:r>
        <w:rPr>
          <w:rFonts w:eastAsia="Times New Roman" w:cs="Times New Roman"/>
          <w:sz w:val="19"/>
          <w:szCs w:val="19"/>
        </w:rPr>
        <w:t>Complementar nº 123/2006</w:t>
      </w:r>
      <w:r>
        <w:rPr>
          <w:rFonts w:cs="Arial"/>
          <w:sz w:val="19"/>
          <w:szCs w:val="19"/>
        </w:rPr>
        <w:t>, na hipótese em que o preço ofertado por 01 (uma) ou mais microempresas, empresas de pequeno porte ou microempreendedores individuais for até 05% superior ao menor preço efetivo serão consideradas empatadas com a primeira colocada.</w:t>
      </w:r>
    </w:p>
    <w:p>
      <w:pPr>
        <w:pStyle w:val="Corpodotexto"/>
        <w:numPr>
          <w:ilvl w:val="1"/>
          <w:numId w:val="4"/>
        </w:numPr>
        <w:spacing w:lineRule="auto" w:line="240" w:before="31" w:after="62"/>
        <w:jc w:val="both"/>
        <w:rPr>
          <w:rFonts w:ascii="Arial" w:hAnsi="Arial"/>
          <w:sz w:val="19"/>
          <w:szCs w:val="19"/>
        </w:rPr>
      </w:pPr>
      <w:r>
        <w:rPr>
          <w:sz w:val="19"/>
          <w:szCs w:val="19"/>
        </w:rPr>
        <w:t>A melhor classificada nos termos do item anterior terá o direito de encaminhar uma última oferta para desempate no prazo estabelecido pelo sistema, e, caso não exerça, serão convocadas as remanescentes que porventura se enquadrem na situação de empate ficto, na ordem classificatória, para o exercício do mesmo direito.</w:t>
      </w:r>
    </w:p>
    <w:p>
      <w:pPr>
        <w:pStyle w:val="Normal"/>
        <w:numPr>
          <w:ilvl w:val="1"/>
          <w:numId w:val="4"/>
        </w:numPr>
        <w:overflowPunct w:val="tru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Aplicados os benefícios da LC 123/2006, caso haja empate entre duas ou mais propostas, os licitantes empatados poderão apresentar nova proposta em ato contínuo à classificação.</w:t>
      </w:r>
    </w:p>
    <w:p>
      <w:pPr>
        <w:pStyle w:val="Normal"/>
        <w:numPr>
          <w:ilvl w:val="1"/>
          <w:numId w:val="4"/>
        </w:numPr>
        <w:overflowPunct w:val="tru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Caso não haja desempate, será assegurada preferência, sucessivamente, aos bens e serviços produzidos ou prestados por:</w:t>
      </w:r>
    </w:p>
    <w:p>
      <w:pPr>
        <w:pStyle w:val="Normal"/>
        <w:numPr>
          <w:ilvl w:val="2"/>
          <w:numId w:val="4"/>
        </w:numPr>
        <w:tabs>
          <w:tab w:val="clear" w:pos="709"/>
          <w:tab w:val="left" w:pos="0" w:leader="none"/>
        </w:tabs>
        <w:overflowPunct w:val="true"/>
        <w:spacing w:lineRule="auto" w:line="240" w:before="31" w:after="62"/>
        <w:ind w:left="283" w:right="0" w:hanging="0"/>
        <w:jc w:val="left"/>
        <w:textAlignment w:val="baseline"/>
        <w:rPr>
          <w:rFonts w:ascii="Arial" w:hAnsi="Arial" w:cs="ArialMT"/>
          <w:b w:val="false"/>
          <w:b w:val="false"/>
          <w:bCs w:val="false"/>
          <w:color w:val="000000"/>
          <w:sz w:val="19"/>
          <w:szCs w:val="19"/>
          <w:u w:val="none"/>
          <w:shd w:fill="auto" w:val="clear"/>
        </w:rPr>
      </w:pPr>
      <w:r>
        <w:rPr>
          <w:rFonts w:cs="ArialMT" w:ascii="Arial;sans-serif" w:hAnsi="Arial;sans-serif"/>
          <w:b w:val="false"/>
          <w:bCs w:val="false"/>
          <w:i w:val="false"/>
          <w:caps w:val="false"/>
          <w:smallCaps w:val="false"/>
          <w:color w:val="000000"/>
          <w:spacing w:val="0"/>
          <w:sz w:val="20"/>
          <w:szCs w:val="19"/>
          <w:u w:val="none"/>
          <w:shd w:fill="auto" w:val="clear"/>
        </w:rPr>
        <w:t>Empresas estabelecidas no território do Estado</w:t>
      </w:r>
      <w:r>
        <w:rPr>
          <w:rFonts w:cs="ArialMT" w:ascii="Arial" w:hAnsi="Arial"/>
          <w:b w:val="false"/>
          <w:bCs w:val="false"/>
          <w:color w:val="000000"/>
          <w:sz w:val="19"/>
          <w:szCs w:val="19"/>
          <w:u w:val="none"/>
          <w:shd w:fill="auto" w:val="clear"/>
        </w:rPr>
        <w:t xml:space="preserve"> do Paraná.</w:t>
      </w:r>
    </w:p>
    <w:p>
      <w:pPr>
        <w:pStyle w:val="Normal"/>
        <w:numPr>
          <w:ilvl w:val="2"/>
          <w:numId w:val="4"/>
        </w:numPr>
        <w:tabs>
          <w:tab w:val="clear" w:pos="709"/>
          <w:tab w:val="left" w:pos="0" w:leader="none"/>
        </w:tabs>
        <w:overflowPunct w:val="true"/>
        <w:spacing w:lineRule="auto" w:line="240" w:before="31" w:after="62"/>
        <w:ind w:left="283" w:right="0" w:hanging="0"/>
        <w:jc w:val="left"/>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Empresas brasileiras;</w:t>
      </w:r>
    </w:p>
    <w:p>
      <w:pPr>
        <w:pStyle w:val="Normal"/>
        <w:numPr>
          <w:ilvl w:val="2"/>
          <w:numId w:val="4"/>
        </w:numPr>
        <w:tabs>
          <w:tab w:val="clear" w:pos="709"/>
          <w:tab w:val="left" w:pos="0" w:leader="none"/>
        </w:tabs>
        <w:overflowPunct w:val="true"/>
        <w:spacing w:lineRule="auto" w:line="240" w:before="31" w:after="62"/>
        <w:ind w:left="283" w:right="0" w:hanging="0"/>
        <w:jc w:val="left"/>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Empresas que invistam em pesquisa e no desenvolvimento de tecnologia no País;</w:t>
      </w:r>
    </w:p>
    <w:p>
      <w:pPr>
        <w:pStyle w:val="Normal"/>
        <w:numPr>
          <w:ilvl w:val="2"/>
          <w:numId w:val="4"/>
        </w:numPr>
        <w:tabs>
          <w:tab w:val="clear" w:pos="709"/>
          <w:tab w:val="left" w:pos="0" w:leader="none"/>
        </w:tabs>
        <w:overflowPunct w:val="true"/>
        <w:spacing w:lineRule="auto" w:line="240" w:before="31" w:after="62"/>
        <w:ind w:left="283" w:right="0" w:hanging="0"/>
        <w:jc w:val="left"/>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Empresas que comprovem a prática de mitigação, nos termos da Lei nº 12.187, de 29 de dezembro de 2009.</w:t>
      </w:r>
    </w:p>
    <w:p>
      <w:pPr>
        <w:pStyle w:val="Normal"/>
        <w:numPr>
          <w:ilvl w:val="1"/>
          <w:numId w:val="4"/>
        </w:numPr>
        <w:spacing w:lineRule="auto" w:line="240" w:before="31" w:after="62"/>
        <w:jc w:val="both"/>
        <w:rPr>
          <w:rFonts w:ascii="Arial" w:hAnsi="Arial"/>
          <w:sz w:val="19"/>
          <w:szCs w:val="19"/>
        </w:rPr>
      </w:pPr>
      <w:r>
        <w:rPr>
          <w:rFonts w:ascii="Arial" w:hAnsi="Arial"/>
          <w:sz w:val="19"/>
          <w:szCs w:val="19"/>
        </w:rPr>
        <w:t>O pregoeiro poderá encaminhar, por meio do sistema eletrônico, contraproposta ao licitante que apresentou o lance mais vantajoso, com o fim de negociar a obtenção de melhor preço.</w:t>
      </w:r>
    </w:p>
    <w:p>
      <w:pPr>
        <w:pStyle w:val="Normal"/>
        <w:numPr>
          <w:ilvl w:val="1"/>
          <w:numId w:val="4"/>
        </w:numPr>
        <w:spacing w:lineRule="auto" w:line="240" w:before="31" w:after="62"/>
        <w:jc w:val="both"/>
        <w:rPr>
          <w:rFonts w:ascii="Arial" w:hAnsi="Arial"/>
          <w:sz w:val="19"/>
          <w:szCs w:val="19"/>
        </w:rPr>
      </w:pPr>
      <w:r>
        <w:rPr>
          <w:rFonts w:ascii="Arial" w:hAnsi="Arial"/>
          <w:sz w:val="19"/>
          <w:szCs w:val="19"/>
        </w:rPr>
        <w:t>Também nas hipóteses em que o Pregoeiro não aceitar a proposta e passar à subsequente, poderá negociar com o licitante para que seja obtido preço melhor.</w:t>
      </w:r>
    </w:p>
    <w:p>
      <w:pPr>
        <w:pStyle w:val="Normal"/>
        <w:numPr>
          <w:ilvl w:val="1"/>
          <w:numId w:val="4"/>
        </w:numPr>
        <w:overflowPunct w:val="true"/>
        <w:spacing w:lineRule="auto" w:line="240" w:before="31" w:after="62"/>
        <w:jc w:val="both"/>
        <w:textAlignment w:val="baseline"/>
        <w:rPr>
          <w:rFonts w:ascii="Arial" w:hAnsi="Arial" w:cs="Verdana"/>
          <w:b w:val="false"/>
          <w:b w:val="false"/>
          <w:bCs w:val="false"/>
          <w:color w:val="000000"/>
          <w:sz w:val="19"/>
          <w:szCs w:val="19"/>
          <w:shd w:fill="auto" w:val="clear"/>
        </w:rPr>
      </w:pPr>
      <w:r>
        <w:rPr>
          <w:rFonts w:eastAsia="Times New Roman" w:cs="Arial-BoldMT" w:ascii="Arial" w:hAnsi="Arial"/>
          <w:b w:val="false"/>
          <w:bCs/>
          <w:color w:val="000000"/>
          <w:sz w:val="19"/>
          <w:szCs w:val="19"/>
          <w:shd w:fill="auto" w:val="clear"/>
        </w:rPr>
        <w:t>As negociaç</w:t>
      </w:r>
      <w:r>
        <w:rPr>
          <w:rFonts w:eastAsia="Calibri" w:cs="Arial-BoldMT" w:ascii="Arial" w:hAnsi="Arial"/>
          <w:b w:val="false"/>
          <w:bCs/>
          <w:color w:val="000000"/>
          <w:kern w:val="0"/>
          <w:sz w:val="19"/>
          <w:szCs w:val="19"/>
          <w:shd w:fill="auto" w:val="clear"/>
          <w:lang w:val="pt-BR" w:eastAsia="en-US" w:bidi="ar-SA"/>
        </w:rPr>
        <w:t>ões</w:t>
      </w:r>
      <w:r>
        <w:rPr>
          <w:rFonts w:eastAsia="Times New Roman" w:cs="Arial-BoldMT" w:ascii="Arial" w:hAnsi="Arial"/>
          <w:b w:val="false"/>
          <w:bCs/>
          <w:color w:val="000000"/>
          <w:sz w:val="19"/>
          <w:szCs w:val="19"/>
          <w:shd w:fill="auto" w:val="clear"/>
        </w:rPr>
        <w:t xml:space="preserve"> ser</w:t>
      </w:r>
      <w:r>
        <w:rPr>
          <w:rFonts w:eastAsia="Calibri" w:cs="Arial-BoldMT" w:ascii="Arial" w:hAnsi="Arial"/>
          <w:b w:val="false"/>
          <w:bCs/>
          <w:color w:val="000000"/>
          <w:kern w:val="0"/>
          <w:sz w:val="19"/>
          <w:szCs w:val="19"/>
          <w:shd w:fill="auto" w:val="clear"/>
          <w:lang w:val="pt-BR" w:eastAsia="en-US" w:bidi="ar-SA"/>
        </w:rPr>
        <w:t>ão r</w:t>
      </w:r>
      <w:r>
        <w:rPr>
          <w:rFonts w:eastAsia="Times New Roman" w:cs="Arial-BoldMT" w:ascii="Arial" w:hAnsi="Arial"/>
          <w:b w:val="false"/>
          <w:bCs/>
          <w:color w:val="000000"/>
          <w:sz w:val="19"/>
          <w:szCs w:val="19"/>
          <w:shd w:fill="auto" w:val="clear"/>
        </w:rPr>
        <w:t>ealizadas por meio do sistema.</w:t>
      </w:r>
    </w:p>
    <w:p>
      <w:pPr>
        <w:pStyle w:val="Normal"/>
        <w:numPr>
          <w:ilvl w:val="0"/>
          <w:numId w:val="0"/>
        </w:numPr>
        <w:overflowPunct w:val="false"/>
        <w:spacing w:lineRule="auto" w:line="240" w:before="31" w:after="62"/>
        <w:ind w:left="0" w:right="0" w:hanging="0"/>
        <w:jc w:val="both"/>
        <w:textAlignment w:val="baseline"/>
        <w:rPr>
          <w:rFonts w:ascii="Arial" w:hAnsi="Arial" w:eastAsia="Times New Roman" w:cs="Arial-BoldMT"/>
          <w:b w:val="false"/>
          <w:b w:val="false"/>
          <w:bCs/>
          <w:color w:val="C9211E"/>
          <w:sz w:val="19"/>
          <w:szCs w:val="19"/>
        </w:rPr>
      </w:pPr>
      <w:r>
        <w:rPr>
          <w:rFonts w:eastAsia="Times New Roman" w:cs="Arial-BoldMT" w:ascii="Arial" w:hAnsi="Arial"/>
          <w:b w:val="false"/>
          <w:bCs/>
          <w:color w:val="C9211E"/>
          <w:sz w:val="19"/>
          <w:szCs w:val="19"/>
        </w:rPr>
      </w:r>
    </w:p>
    <w:p>
      <w:pPr>
        <w:pStyle w:val="Ttulo1"/>
        <w:numPr>
          <w:ilvl w:val="0"/>
          <w:numId w:val="4"/>
        </w:numPr>
        <w:shd w:val="clear" w:fill="EEEEEE"/>
        <w:spacing w:lineRule="auto" w:line="240" w:before="31" w:after="62"/>
        <w:jc w:val="center"/>
        <w:rPr>
          <w:color w:val="C9211E"/>
        </w:rPr>
      </w:pPr>
      <w:r>
        <w:rPr>
          <w:color w:val="000000"/>
        </w:rPr>
        <w:t>DO PREENCHIMENTO DAS PROPOSTAS</w:t>
      </w:r>
      <w:r>
        <w:rPr>
          <w:color w:val="C9211E"/>
        </w:rPr>
        <w:tab/>
      </w:r>
    </w:p>
    <w:p>
      <w:pPr>
        <w:pStyle w:val="Corpodotexto"/>
        <w:numPr>
          <w:ilvl w:val="1"/>
          <w:numId w:val="4"/>
        </w:numPr>
        <w:spacing w:lineRule="auto" w:line="240" w:before="31" w:after="62"/>
        <w:jc w:val="both"/>
        <w:rPr>
          <w:color w:val="000000"/>
        </w:rPr>
      </w:pPr>
      <w:r>
        <w:rPr>
          <w:color w:val="000000"/>
        </w:rPr>
        <w:t xml:space="preserve"> </w:t>
      </w:r>
      <w:r>
        <w:rPr>
          <w:rFonts w:eastAsia="Times New Roman" w:cs="Verdana"/>
          <w:color w:val="111111"/>
          <w:szCs w:val="19"/>
          <w:lang w:bidi="ar-SA"/>
        </w:rPr>
        <w:t>O licitante deverá enviar sua proposta mediante o preenchimento, no sistema eletrônico, dos seguintes campos:</w:t>
      </w:r>
    </w:p>
    <w:p>
      <w:pPr>
        <w:pStyle w:val="Corpodotexto"/>
        <w:numPr>
          <w:ilvl w:val="0"/>
          <w:numId w:val="12"/>
        </w:numPr>
        <w:spacing w:lineRule="auto" w:line="240" w:before="31" w:after="62"/>
        <w:jc w:val="both"/>
        <w:rPr/>
      </w:pPr>
      <w:r>
        <w:rPr/>
        <w:t>Valor expresso em Reais (R$)</w:t>
      </w:r>
    </w:p>
    <w:p>
      <w:pPr>
        <w:pStyle w:val="Corpodotexto"/>
        <w:numPr>
          <w:ilvl w:val="1"/>
          <w:numId w:val="4"/>
        </w:numPr>
        <w:spacing w:lineRule="auto" w:line="240" w:before="31" w:after="62"/>
        <w:jc w:val="both"/>
        <w:rPr/>
      </w:pPr>
      <w:r>
        <w:rPr/>
        <w:t>Todas as especificações do objeto contidas na proposta vinculam o licitante.</w:t>
      </w:r>
    </w:p>
    <w:p>
      <w:pPr>
        <w:pStyle w:val="Corpodotexto"/>
        <w:numPr>
          <w:ilvl w:val="1"/>
          <w:numId w:val="4"/>
        </w:numPr>
        <w:spacing w:lineRule="auto" w:line="240" w:before="31" w:after="62"/>
        <w:jc w:val="both"/>
        <w:rPr/>
      </w:pPr>
      <w:r>
        <w:rPr/>
        <w:t>O licitante não poderá oferecer proposta em quantitativo inferior ao máximo previsto para contratação.</w:t>
      </w:r>
    </w:p>
    <w:p>
      <w:pPr>
        <w:pStyle w:val="Corpodotexto"/>
        <w:numPr>
          <w:ilvl w:val="1"/>
          <w:numId w:val="4"/>
        </w:numPr>
        <w:spacing w:lineRule="auto" w:line="240" w:before="31" w:after="62"/>
        <w:jc w:val="both"/>
        <w:rPr/>
      </w:pPr>
      <w:r>
        <w:rPr/>
        <w:t>Nos valores propostos estarão inclusos todos os custos operacionais, encargos previdenciários, trabalhistas, tributários, comerciais e quaisquer outros que incidam direta ou indiretamente na execução do objeto.</w:t>
      </w:r>
    </w:p>
    <w:p>
      <w:pPr>
        <w:pStyle w:val="Corpodotexto"/>
        <w:numPr>
          <w:ilvl w:val="1"/>
          <w:numId w:val="4"/>
        </w:numPr>
        <w:spacing w:lineRule="auto" w:line="240" w:before="31" w:after="62"/>
        <w:jc w:val="both"/>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Corpodotexto"/>
        <w:numPr>
          <w:ilvl w:val="1"/>
          <w:numId w:val="4"/>
        </w:numPr>
        <w:spacing w:lineRule="auto" w:line="240" w:before="31" w:after="62"/>
        <w:jc w:val="both"/>
        <w:rPr/>
      </w:pPr>
      <w:r>
        <w:rPr>
          <w:rFonts w:cs="Verdana"/>
          <w:color w:val="000000"/>
          <w:sz w:val="19"/>
          <w:szCs w:val="19"/>
          <w:shd w:fill="auto" w:val="clear"/>
        </w:rPr>
        <w:t>Considerando que os itens que compõem a Proposta de Preços (ANEXO II) não demandam entrega diferenciada, tampouco quaisquer outros aspectos que possam interferir no preço final, na formulação da proposta de preços o licitante deverá apresentar preço único para cada item.</w:t>
      </w:r>
      <w:r>
        <w:rPr/>
        <w:t xml:space="preserve"> </w:t>
      </w:r>
    </w:p>
    <w:p>
      <w:pPr>
        <w:pStyle w:val="Corpodotexto"/>
        <w:numPr>
          <w:ilvl w:val="1"/>
          <w:numId w:val="4"/>
        </w:numPr>
        <w:spacing w:lineRule="auto" w:line="240" w:before="31" w:after="62"/>
        <w:jc w:val="both"/>
        <w:rPr/>
      </w:pPr>
      <w:r>
        <w:rPr/>
        <w:t>Se o regime tributário da empresa implicar o recolhimento de tributos em percentuais variáveis, a cotação adequada será a que corresponde à média dos efetivos recolhimentos da empresa nos últimos doze meses.</w:t>
      </w:r>
    </w:p>
    <w:p>
      <w:pPr>
        <w:pStyle w:val="Corpodotexto"/>
        <w:numPr>
          <w:ilvl w:val="1"/>
          <w:numId w:val="4"/>
        </w:numPr>
        <w:spacing w:lineRule="auto" w:line="240" w:before="31" w:after="62"/>
        <w:jc w:val="both"/>
        <w:rPr/>
      </w:pPr>
      <w:r>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pPr>
        <w:pStyle w:val="Corpodotexto"/>
        <w:numPr>
          <w:ilvl w:val="1"/>
          <w:numId w:val="4"/>
        </w:numPr>
        <w:spacing w:lineRule="auto" w:line="240" w:before="31" w:after="62"/>
        <w:jc w:val="both"/>
        <w:rPr>
          <w:shd w:fill="auto" w:val="clear"/>
        </w:rPr>
      </w:pPr>
      <w:r>
        <w:rPr>
          <w:shd w:fill="auto" w:val="clear"/>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Corpodotexto"/>
        <w:numPr>
          <w:ilvl w:val="1"/>
          <w:numId w:val="4"/>
        </w:numPr>
        <w:spacing w:lineRule="auto" w:line="240" w:before="31" w:after="62"/>
        <w:jc w:val="both"/>
        <w:rPr>
          <w:color w:val="000000"/>
        </w:rPr>
      </w:pPr>
      <w:r>
        <w:rPr>
          <w:rFonts w:eastAsia="Times New Roman" w:cs="Verdana"/>
          <w:color w:val="111111"/>
          <w:szCs w:val="19"/>
          <w:lang w:bidi="ar-SA"/>
        </w:rPr>
        <w:t>O prazo de validade da proposta não será inferior a 60 (sessenta) dias, a contar da data de sua apresentação.</w:t>
      </w:r>
    </w:p>
    <w:p>
      <w:pPr>
        <w:pStyle w:val="Corpodotexto"/>
        <w:numPr>
          <w:ilvl w:val="0"/>
          <w:numId w:val="0"/>
        </w:numPr>
        <w:spacing w:lineRule="auto" w:line="240" w:before="31" w:after="62"/>
        <w:ind w:left="113" w:hanging="0"/>
        <w:jc w:val="both"/>
        <w:rPr>
          <w:color w:val="C9211E"/>
        </w:rPr>
      </w:pPr>
      <w:r>
        <w:rPr>
          <w:color w:val="C9211E"/>
        </w:rPr>
      </w:r>
    </w:p>
    <w:p>
      <w:pPr>
        <w:pStyle w:val="Ttulo1"/>
        <w:numPr>
          <w:ilvl w:val="0"/>
          <w:numId w:val="4"/>
        </w:numPr>
        <w:shd w:val="clear" w:fill="EEEEEE"/>
        <w:spacing w:lineRule="auto" w:line="240" w:before="31" w:after="62"/>
        <w:jc w:val="center"/>
        <w:rPr>
          <w:color w:val="000000"/>
        </w:rPr>
      </w:pPr>
      <w:r>
        <w:rPr>
          <w:color w:val="111111"/>
        </w:rPr>
        <w:t>DA ABERTURA DA SESSÃO, CLASSIFICAÇÃO DAS PROPOSTAS E FORMULAÇÃO DE LANCES</w:t>
      </w:r>
    </w:p>
    <w:p>
      <w:pPr>
        <w:pStyle w:val="Corpodotexto"/>
        <w:numPr>
          <w:ilvl w:val="1"/>
          <w:numId w:val="4"/>
        </w:numPr>
        <w:spacing w:lineRule="auto" w:line="240" w:before="31" w:after="62"/>
        <w:jc w:val="both"/>
        <w:rPr>
          <w:color w:val="000000"/>
        </w:rPr>
      </w:pPr>
      <w:r>
        <w:rPr>
          <w:rFonts w:eastAsia="Times New Roman" w:cs="Verdana"/>
          <w:color w:val="111111"/>
          <w:szCs w:val="19"/>
          <w:lang w:bidi="ar-SA"/>
        </w:rPr>
        <w:t>A abertura da presente licitação dar-se-á automaticamente em sessão pública, por meio de sistema eletrônico, na data, horário e local indicados neste Edital.</w:t>
      </w:r>
    </w:p>
    <w:p>
      <w:pPr>
        <w:pStyle w:val="Corpodotexto"/>
        <w:numPr>
          <w:ilvl w:val="1"/>
          <w:numId w:val="4"/>
        </w:numPr>
        <w:spacing w:lineRule="auto" w:line="240" w:before="31" w:after="62"/>
        <w:jc w:val="both"/>
        <w:rPr/>
      </w:pPr>
      <w:r>
        <w:rPr/>
        <w:t>Os licitantes poderão retirar ou substituir a proposta ou os documentos de habilitação, quando for o caso, anteriormente inseridos no sistema, até a abertura da sessão pública.</w:t>
      </w:r>
    </w:p>
    <w:p>
      <w:pPr>
        <w:pStyle w:val="Corpodotexto"/>
        <w:numPr>
          <w:ilvl w:val="1"/>
          <w:numId w:val="4"/>
        </w:numPr>
        <w:spacing w:lineRule="auto" w:line="240" w:before="31" w:after="62"/>
        <w:jc w:val="both"/>
        <w:rPr/>
      </w:pPr>
      <w:r>
        <w:rPr/>
        <w:t>O sistema disponibilizará campo próprio para troca de mensagens entre o Pregoeiro e os licitantes.</w:t>
      </w:r>
    </w:p>
    <w:p>
      <w:pPr>
        <w:pStyle w:val="Corpodotexto"/>
        <w:numPr>
          <w:ilvl w:val="1"/>
          <w:numId w:val="4"/>
        </w:numPr>
        <w:spacing w:lineRule="auto" w:line="240" w:before="31" w:after="62"/>
        <w:jc w:val="both"/>
        <w:rPr/>
      </w:pPr>
      <w:r>
        <w:rPr/>
        <w:t>Iniciada a etapa competitiva, os licitantes deverão encaminhar lances exclusivamente por meio de sistema eletrônico, sendo imediatamente informados do seu recebimento e do valor consignado no registro.</w:t>
      </w:r>
    </w:p>
    <w:p>
      <w:pPr>
        <w:pStyle w:val="Corpodotexto"/>
        <w:numPr>
          <w:ilvl w:val="1"/>
          <w:numId w:val="4"/>
        </w:numPr>
        <w:spacing w:lineRule="auto" w:line="240" w:before="31" w:after="62"/>
        <w:jc w:val="both"/>
        <w:rPr/>
      </w:pPr>
      <w:r>
        <w:rPr/>
        <w:t>O lance deverá ser ofertado pelo valor unitário do item.</w:t>
      </w:r>
    </w:p>
    <w:p>
      <w:pPr>
        <w:pStyle w:val="Corpodotexto"/>
        <w:numPr>
          <w:ilvl w:val="1"/>
          <w:numId w:val="4"/>
        </w:numPr>
        <w:spacing w:lineRule="auto" w:line="240" w:before="31" w:after="62"/>
        <w:jc w:val="both"/>
        <w:rPr/>
      </w:pPr>
      <w:r>
        <w:rPr/>
        <w:t>Os licitantes poderão oferecer lances sucessivos, observando o horário fixado para abertura da sessão e as regras estabelecidas no Edital.</w:t>
      </w:r>
    </w:p>
    <w:p>
      <w:pPr>
        <w:pStyle w:val="Corpodotexto"/>
        <w:numPr>
          <w:ilvl w:val="1"/>
          <w:numId w:val="4"/>
        </w:numPr>
        <w:spacing w:lineRule="auto" w:line="240" w:before="31" w:after="62"/>
        <w:jc w:val="both"/>
        <w:rPr/>
      </w:pPr>
      <w:r>
        <w:rPr/>
        <w:t>O licitante somente poderá oferecer lance de valor inferior ao último por ele ofertado e registrado pelo sistema.</w:t>
      </w:r>
    </w:p>
    <w:p>
      <w:pPr>
        <w:pStyle w:val="Corpodotexto"/>
        <w:numPr>
          <w:ilvl w:val="1"/>
          <w:numId w:val="4"/>
        </w:numPr>
        <w:spacing w:lineRule="auto" w:line="240" w:before="31" w:after="62"/>
        <w:jc w:val="both"/>
        <w:rPr>
          <w:shd w:fill="auto" w:val="clear"/>
        </w:rPr>
      </w:pPr>
      <w:r>
        <w:rPr>
          <w:shd w:fill="auto" w:val="clear"/>
        </w:rPr>
        <w:t>O intervalo mínimo de diferença de valores ou percentuais entre os lances, que incidirá tanto em relação aos lances intermediários quanto em relação à proposta que cobrir a melhor oferta deverá ser de 1 centavo.</w:t>
      </w:r>
    </w:p>
    <w:p>
      <w:pPr>
        <w:pStyle w:val="Corpodotexto"/>
        <w:numPr>
          <w:ilvl w:val="1"/>
          <w:numId w:val="4"/>
        </w:numPr>
        <w:spacing w:lineRule="auto" w:line="240" w:before="31" w:after="62"/>
        <w:jc w:val="both"/>
        <w:rPr/>
      </w:pPr>
      <w:r>
        <w:rPr/>
        <w:t>O licitante poderá, uma única vez, excluir seu último lance ofertado, no intervalo de quinze segundos após o registro no sistema, na hipótese de lance inconsistente ou inexequível.</w:t>
      </w:r>
    </w:p>
    <w:p>
      <w:pPr>
        <w:pStyle w:val="Corpodotexto"/>
        <w:numPr>
          <w:ilvl w:val="1"/>
          <w:numId w:val="4"/>
        </w:numPr>
        <w:spacing w:lineRule="auto" w:line="240" w:before="31" w:after="62"/>
        <w:jc w:val="both"/>
        <w:rPr/>
      </w:pPr>
      <w:r>
        <w:rPr/>
        <w:t>O procedimento seguirá de acordo com o modo de disputa aberto.</w:t>
      </w:r>
    </w:p>
    <w:p>
      <w:pPr>
        <w:pStyle w:val="Corpodotexto"/>
        <w:numPr>
          <w:ilvl w:val="1"/>
          <w:numId w:val="4"/>
        </w:numPr>
        <w:spacing w:lineRule="auto" w:line="240" w:before="31" w:after="62"/>
        <w:jc w:val="both"/>
        <w:rPr/>
      </w:pPr>
      <w:r>
        <w:rPr/>
        <w:t>No modo de disputa “aberto”, os licitantes apresentarão lances públicos e sucessivos, com prorrogações.</w:t>
      </w:r>
    </w:p>
    <w:p>
      <w:pPr>
        <w:pStyle w:val="Corpodotexto"/>
        <w:numPr>
          <w:ilvl w:val="1"/>
          <w:numId w:val="4"/>
        </w:numPr>
        <w:spacing w:lineRule="auto" w:line="240" w:before="31" w:after="62"/>
        <w:jc w:val="both"/>
        <w:rPr/>
      </w:pPr>
      <w:r>
        <w:rPr/>
        <w:t>A etapa de lances da sessão pública terá duração de dez minutos e, após isso, será prorrogada automaticamente pelo sistema quando houver lance ofertado nos últimos dois minutos do período de duração da sessão pública.</w:t>
      </w:r>
    </w:p>
    <w:p>
      <w:pPr>
        <w:pStyle w:val="Corpodotexto"/>
        <w:numPr>
          <w:ilvl w:val="1"/>
          <w:numId w:val="4"/>
        </w:numPr>
        <w:spacing w:lineRule="auto" w:line="240" w:before="31" w:after="62"/>
        <w:jc w:val="both"/>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Corpodotexto"/>
        <w:numPr>
          <w:ilvl w:val="1"/>
          <w:numId w:val="4"/>
        </w:numPr>
        <w:spacing w:lineRule="auto" w:line="240" w:before="31" w:after="62"/>
        <w:jc w:val="both"/>
        <w:rPr/>
      </w:pPr>
      <w:r>
        <w:rPr/>
        <w:t>Não havendo novos lances na forma estabelecida nos itens anteriores, a sessão pública encerrar-se-á automaticamente, e o sistema ordenará e divulgará os lances conforme a ordem final de classificação .</w:t>
      </w:r>
    </w:p>
    <w:p>
      <w:pPr>
        <w:pStyle w:val="Corpodotexto"/>
        <w:numPr>
          <w:ilvl w:val="1"/>
          <w:numId w:val="4"/>
        </w:numPr>
        <w:spacing w:lineRule="auto" w:line="240" w:before="31" w:after="62"/>
        <w:jc w:val="both"/>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Corpodotexto"/>
        <w:numPr>
          <w:ilvl w:val="1"/>
          <w:numId w:val="4"/>
        </w:numPr>
        <w:spacing w:lineRule="auto" w:line="240" w:before="31" w:after="62"/>
        <w:jc w:val="both"/>
        <w:rPr/>
      </w:pPr>
      <w:r>
        <w:rPr/>
        <w:t>Após o reinício previsto no item supra, os licitantes serão convocados para apresentar lances intermediários.</w:t>
      </w:r>
    </w:p>
    <w:p>
      <w:pPr>
        <w:pStyle w:val="Corpodotexto"/>
        <w:numPr>
          <w:ilvl w:val="1"/>
          <w:numId w:val="4"/>
        </w:numPr>
        <w:spacing w:lineRule="auto" w:line="240" w:before="31" w:after="62"/>
        <w:jc w:val="both"/>
        <w:rPr/>
      </w:pPr>
      <w:r>
        <w:rPr/>
        <w:t>Após o término dos prazos estabelecidos nos subitens anteriores, o sistema ordenará e divulgará os lances segundo a ordem crescente de valores.</w:t>
      </w:r>
    </w:p>
    <w:p>
      <w:pPr>
        <w:pStyle w:val="Corpodotexto"/>
        <w:numPr>
          <w:ilvl w:val="1"/>
          <w:numId w:val="4"/>
        </w:numPr>
        <w:spacing w:lineRule="auto" w:line="240" w:before="31" w:after="62"/>
        <w:jc w:val="both"/>
        <w:rPr/>
      </w:pPr>
      <w:r>
        <w:rPr/>
        <w:t>Não serão aceitos dois ou mais lances de mesmo valor, prevalecendo aquele que for recebido e registrado em primeiro lugar.</w:t>
      </w:r>
    </w:p>
    <w:p>
      <w:pPr>
        <w:pStyle w:val="Corpodotexto"/>
        <w:numPr>
          <w:ilvl w:val="1"/>
          <w:numId w:val="4"/>
        </w:numPr>
        <w:spacing w:lineRule="auto" w:line="240" w:before="31" w:after="62"/>
        <w:jc w:val="both"/>
        <w:rPr/>
      </w:pPr>
      <w:r>
        <w:rPr/>
        <w:t xml:space="preserve"> </w:t>
      </w:r>
      <w:r>
        <w:rPr/>
        <w:t>Durante o transcurso da sessão pública, os licitantes serão informados, em tempo real, do valor do menor lance registrado, vedada a identificação do licitante.</w:t>
      </w:r>
    </w:p>
    <w:p>
      <w:pPr>
        <w:pStyle w:val="Corpodotexto"/>
        <w:numPr>
          <w:ilvl w:val="1"/>
          <w:numId w:val="4"/>
        </w:numPr>
        <w:spacing w:lineRule="auto" w:line="240" w:before="31" w:after="62"/>
        <w:jc w:val="both"/>
        <w:rPr/>
      </w:pPr>
      <w:r>
        <w:rPr/>
        <w:t>No caso de desconexão com o Pregoeiro, no decorrer da etapa competitiva do Pregão Eletrônico, o sistema eletrônico poderá permanecer acessível aos licitantes para a recepção dos lances.</w:t>
      </w:r>
    </w:p>
    <w:p>
      <w:pPr>
        <w:pStyle w:val="Corpodotexto"/>
        <w:numPr>
          <w:ilvl w:val="1"/>
          <w:numId w:val="4"/>
        </w:numPr>
        <w:spacing w:lineRule="auto" w:line="240" w:before="31" w:after="62"/>
        <w:jc w:val="both"/>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Corpodotexto"/>
        <w:numPr>
          <w:ilvl w:val="1"/>
          <w:numId w:val="4"/>
        </w:numPr>
        <w:spacing w:lineRule="auto" w:line="240" w:before="31" w:after="62"/>
        <w:jc w:val="both"/>
        <w:rPr/>
      </w:pPr>
      <w:r>
        <w:rPr/>
        <w:t>Caso o licitante não apresente lances, concorrerá com o valor de sua proposta.</w:t>
      </w:r>
    </w:p>
    <w:p>
      <w:pPr>
        <w:pStyle w:val="Corpodotexto"/>
        <w:numPr>
          <w:ilvl w:val="1"/>
          <w:numId w:val="4"/>
        </w:numPr>
        <w:spacing w:lineRule="auto" w:line="240" w:before="31" w:after="62"/>
        <w:jc w:val="both"/>
        <w:rPr/>
      </w:pPr>
      <w:r>
        <w:rPr/>
        <w:t>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Corpodotexto"/>
        <w:numPr>
          <w:ilvl w:val="1"/>
          <w:numId w:val="4"/>
        </w:numPr>
        <w:spacing w:lineRule="auto" w:line="240" w:before="31" w:after="62"/>
        <w:jc w:val="both"/>
        <w:rPr/>
      </w:pPr>
      <w:r>
        <w:rPr/>
        <w:t>Nessas condições, as propostas de microempresas e empresas de pequeno porte que se encontrarem na faixa de até 5% (cinco por cento) serão consideradas empatadas com a primeira colocada.</w:t>
      </w:r>
    </w:p>
    <w:p>
      <w:pPr>
        <w:pStyle w:val="Corpodotexto"/>
        <w:numPr>
          <w:ilvl w:val="1"/>
          <w:numId w:val="4"/>
        </w:numPr>
        <w:spacing w:lineRule="auto" w:line="240" w:before="31" w:after="62"/>
        <w:jc w:val="both"/>
        <w:rPr/>
      </w:pPr>
      <w: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Corpodotexto"/>
        <w:numPr>
          <w:ilvl w:val="1"/>
          <w:numId w:val="4"/>
        </w:numPr>
        <w:spacing w:lineRule="auto" w:line="240" w:before="31" w:after="62"/>
        <w:jc w:val="both"/>
        <w:rPr/>
      </w:pPr>
      <w: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Corpodotexto"/>
        <w:numPr>
          <w:ilvl w:val="1"/>
          <w:numId w:val="4"/>
        </w:numPr>
        <w:spacing w:lineRule="auto" w:line="240" w:before="31" w:after="62"/>
        <w:jc w:val="both"/>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Corpodotexto"/>
        <w:numPr>
          <w:ilvl w:val="1"/>
          <w:numId w:val="4"/>
        </w:numPr>
        <w:spacing w:lineRule="auto" w:line="240" w:before="31" w:after="62"/>
        <w:jc w:val="both"/>
        <w:rPr/>
      </w:pPr>
      <w: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Corpodotexto"/>
        <w:numPr>
          <w:ilvl w:val="1"/>
          <w:numId w:val="4"/>
        </w:numPr>
        <w:spacing w:lineRule="auto" w:line="240" w:before="31" w:after="62"/>
        <w:jc w:val="both"/>
        <w:rPr/>
      </w:pPr>
      <w:r>
        <w:rPr/>
        <w:t>Só poderá haver empate entre propostas iguais (não seguidas de lances).</w:t>
      </w:r>
    </w:p>
    <w:p>
      <w:pPr>
        <w:pStyle w:val="Corpodotexto"/>
        <w:numPr>
          <w:ilvl w:val="1"/>
          <w:numId w:val="4"/>
        </w:numPr>
        <w:spacing w:lineRule="auto" w:line="240" w:before="31" w:after="62"/>
        <w:jc w:val="both"/>
        <w:rPr/>
      </w:pPr>
      <w:r>
        <w:rPr/>
        <w:t>Havendo eventual empate entre propostas ou lances, o critério de desempate será aquele previsto no art. 60 da Lei nº 14.133, de 2021, nesta ordem:</w:t>
      </w:r>
    </w:p>
    <w:p>
      <w:pPr>
        <w:pStyle w:val="Corpodotexto"/>
        <w:numPr>
          <w:ilvl w:val="2"/>
          <w:numId w:val="4"/>
        </w:numPr>
        <w:spacing w:lineRule="auto" w:line="240" w:before="31" w:after="62"/>
        <w:jc w:val="both"/>
        <w:rPr/>
      </w:pPr>
      <w:r>
        <w:rPr/>
        <w:t>disputa final, hipótese em que os licitantes empatados poderão apresentar nova proposta em ato contínuo à classificação;</w:t>
      </w:r>
    </w:p>
    <w:p>
      <w:pPr>
        <w:pStyle w:val="Corpodotexto"/>
        <w:numPr>
          <w:ilvl w:val="2"/>
          <w:numId w:val="4"/>
        </w:numPr>
        <w:spacing w:lineRule="auto" w:line="240" w:before="31" w:after="62"/>
        <w:jc w:val="both"/>
        <w:rPr/>
      </w:pPr>
      <w:r>
        <w:rPr/>
        <w:t>avaliação do desempenho contratual prévio dos licitantes, para a qual deverão preferencialmente ser utilizados registros cadastrais para efeito de atesto de cumprimento de obrigações previstos nesta Lei;</w:t>
      </w:r>
    </w:p>
    <w:p>
      <w:pPr>
        <w:pStyle w:val="Corpodotexto"/>
        <w:numPr>
          <w:ilvl w:val="2"/>
          <w:numId w:val="4"/>
        </w:numPr>
        <w:spacing w:lineRule="auto" w:line="240" w:before="31" w:after="62"/>
        <w:jc w:val="both"/>
        <w:rPr/>
      </w:pPr>
      <w:r>
        <w:rPr/>
        <w:t>desenvolvimento pelo licitante de ações de equidade entre homens e mulheres no ambiente de trabalho, conforme regulamento;</w:t>
      </w:r>
    </w:p>
    <w:p>
      <w:pPr>
        <w:pStyle w:val="Corpodotexto"/>
        <w:numPr>
          <w:ilvl w:val="2"/>
          <w:numId w:val="4"/>
        </w:numPr>
        <w:spacing w:lineRule="auto" w:line="240" w:before="31" w:after="62"/>
        <w:jc w:val="both"/>
        <w:rPr/>
      </w:pPr>
      <w:r>
        <w:rPr/>
        <w:t>desenvolvimento pelo licitante de programa de integridade, conforme orientações dos órgãos de controle.</w:t>
      </w:r>
    </w:p>
    <w:p>
      <w:pPr>
        <w:pStyle w:val="Corpodotexto"/>
        <w:numPr>
          <w:ilvl w:val="1"/>
          <w:numId w:val="4"/>
        </w:numPr>
        <w:spacing w:lineRule="auto" w:line="240" w:before="31" w:after="62"/>
        <w:jc w:val="both"/>
        <w:rPr/>
      </w:pPr>
      <w:r>
        <w:rPr/>
        <w:t>Persistindo o empate, será assegurada preferência, sucessivamente, aos bens e serviços produzidos ou prestados por:</w:t>
      </w:r>
    </w:p>
    <w:p>
      <w:pPr>
        <w:pStyle w:val="Corpodotexto"/>
        <w:numPr>
          <w:ilvl w:val="2"/>
          <w:numId w:val="4"/>
        </w:numPr>
        <w:spacing w:lineRule="auto" w:line="240" w:before="31" w:after="62"/>
        <w:jc w:val="both"/>
        <w:rPr/>
      </w:pPr>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Corpodotexto"/>
        <w:numPr>
          <w:ilvl w:val="2"/>
          <w:numId w:val="4"/>
        </w:numPr>
        <w:spacing w:lineRule="auto" w:line="240" w:before="31" w:after="62"/>
        <w:jc w:val="both"/>
        <w:rPr/>
      </w:pPr>
      <w:r>
        <w:rPr/>
        <w:t>empresas brasileiras;</w:t>
      </w:r>
    </w:p>
    <w:p>
      <w:pPr>
        <w:pStyle w:val="Corpodotexto"/>
        <w:numPr>
          <w:ilvl w:val="2"/>
          <w:numId w:val="4"/>
        </w:numPr>
        <w:spacing w:lineRule="auto" w:line="240" w:before="31" w:after="62"/>
        <w:jc w:val="both"/>
        <w:rPr/>
      </w:pPr>
      <w:r>
        <w:rPr/>
        <w:t>empresas que invistam em pesquisa e no desenvolvimento de tecnologia no País;</w:t>
      </w:r>
    </w:p>
    <w:p>
      <w:pPr>
        <w:pStyle w:val="Corpodotexto"/>
        <w:numPr>
          <w:ilvl w:val="2"/>
          <w:numId w:val="4"/>
        </w:numPr>
        <w:spacing w:lineRule="auto" w:line="240" w:before="31" w:after="62"/>
        <w:jc w:val="both"/>
        <w:rPr/>
      </w:pPr>
      <w:r>
        <w:rPr/>
        <w:t>empresas que comprovem a prática de mitigação, nos termos da Lei nº 12.187, de 29 de dezembro de 2009.</w:t>
      </w:r>
    </w:p>
    <w:p>
      <w:pPr>
        <w:pStyle w:val="Corpodotexto"/>
        <w:numPr>
          <w:ilvl w:val="1"/>
          <w:numId w:val="4"/>
        </w:numPr>
        <w:spacing w:lineRule="auto" w:line="240" w:before="31" w:after="62"/>
        <w:jc w:val="both"/>
        <w:rPr/>
      </w:pPr>
      <w:r>
        <w:rPr/>
        <w:t>Esgotados os demais critérios de desempate previstos em lei, a escolha do licitante vencedor ocorrerá por sorteio, em ato público, para o qual todos os licitantes serão convocados, vedado qualquer outro processo.</w:t>
      </w:r>
    </w:p>
    <w:p>
      <w:pPr>
        <w:pStyle w:val="Corpodotexto"/>
        <w:numPr>
          <w:ilvl w:val="1"/>
          <w:numId w:val="4"/>
        </w:numPr>
        <w:spacing w:lineRule="auto" w:line="240" w:before="31" w:after="62"/>
        <w:jc w:val="both"/>
        <w:rPr/>
      </w:pPr>
      <w:r>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pPr>
        <w:pStyle w:val="Corpodotexto"/>
        <w:numPr>
          <w:ilvl w:val="1"/>
          <w:numId w:val="4"/>
        </w:numPr>
        <w:spacing w:lineRule="auto" w:line="240" w:before="31" w:after="62"/>
        <w:jc w:val="both"/>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Corpodotexto"/>
        <w:numPr>
          <w:ilvl w:val="1"/>
          <w:numId w:val="4"/>
        </w:numPr>
        <w:spacing w:lineRule="auto" w:line="240" w:before="31" w:after="62"/>
        <w:jc w:val="both"/>
        <w:rPr/>
      </w:pPr>
      <w:r>
        <w:rPr/>
        <w:t>A negociação será realizada por meio do sistema, podendo ser acompanhada pelos demais licitantes.</w:t>
      </w:r>
    </w:p>
    <w:p>
      <w:pPr>
        <w:pStyle w:val="Corpodotexto"/>
        <w:numPr>
          <w:ilvl w:val="1"/>
          <w:numId w:val="4"/>
        </w:numPr>
        <w:spacing w:lineRule="auto" w:line="240" w:before="31" w:after="62"/>
        <w:jc w:val="both"/>
        <w:rPr/>
      </w:pPr>
      <w:r>
        <w:rPr/>
        <w:t>O resultado da negociação será divulgado a todos os licitantes e anexado aos autos do processo licitatório.</w:t>
      </w:r>
    </w:p>
    <w:p>
      <w:pPr>
        <w:pStyle w:val="Corpodotexto"/>
        <w:numPr>
          <w:ilvl w:val="1"/>
          <w:numId w:val="4"/>
        </w:numPr>
        <w:spacing w:lineRule="auto" w:line="240" w:before="31" w:after="62"/>
        <w:jc w:val="both"/>
        <w:rPr/>
      </w:pPr>
      <w:r>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pPr>
        <w:pStyle w:val="Corpodotexto"/>
        <w:numPr>
          <w:ilvl w:val="1"/>
          <w:numId w:val="4"/>
        </w:numPr>
        <w:spacing w:lineRule="auto" w:line="240" w:before="31" w:after="62"/>
        <w:jc w:val="both"/>
        <w:rPr/>
      </w:pPr>
      <w:r>
        <w:rPr/>
        <w:t>É facultado ao Pregoeiro prorrogar o prazo estabelecido, a partir de solicitação fundamentada feita no chat pelo licitante, antes de findo o prazo.</w:t>
      </w:r>
    </w:p>
    <w:p>
      <w:pPr>
        <w:pStyle w:val="Corpodotexto"/>
        <w:numPr>
          <w:ilvl w:val="1"/>
          <w:numId w:val="4"/>
        </w:numPr>
        <w:spacing w:lineRule="auto" w:line="240" w:before="31" w:after="62"/>
        <w:jc w:val="both"/>
        <w:rPr>
          <w:color w:val="000000"/>
        </w:rPr>
      </w:pPr>
      <w:r>
        <w:rPr>
          <w:rFonts w:eastAsia="Times New Roman" w:cs="Verdana"/>
          <w:color w:val="111111"/>
          <w:szCs w:val="19"/>
          <w:lang w:bidi="ar-SA"/>
        </w:rPr>
        <w:t>Após a negociação do preço, o Pregoeiro iniciará a fase de aceitação e julgamento da proposta.</w:t>
      </w:r>
    </w:p>
    <w:p>
      <w:pPr>
        <w:pStyle w:val="Corpodotexto"/>
        <w:numPr>
          <w:ilvl w:val="0"/>
          <w:numId w:val="0"/>
        </w:numPr>
        <w:spacing w:lineRule="auto" w:line="240" w:before="31" w:after="62"/>
        <w:ind w:left="113" w:hanging="0"/>
        <w:jc w:val="both"/>
        <w:rPr>
          <w:color w:val="C9211E"/>
        </w:rPr>
      </w:pPr>
      <w:r>
        <w:rPr>
          <w:color w:val="C9211E"/>
        </w:rPr>
      </w:r>
    </w:p>
    <w:p>
      <w:pPr>
        <w:pStyle w:val="Ttulo1"/>
        <w:numPr>
          <w:ilvl w:val="0"/>
          <w:numId w:val="4"/>
        </w:numPr>
        <w:shd w:val="clear" w:fill="EEEEEE"/>
        <w:spacing w:lineRule="auto" w:line="240" w:before="31" w:after="62"/>
        <w:jc w:val="center"/>
        <w:rPr>
          <w:color w:val="000000"/>
        </w:rPr>
      </w:pPr>
      <w:r>
        <w:rPr>
          <w:color w:val="000000"/>
        </w:rPr>
        <w:t>DA HABILITAÇÃO</w:t>
      </w:r>
    </w:p>
    <w:p>
      <w:pPr>
        <w:pStyle w:val="Corpodotexto"/>
        <w:numPr>
          <w:ilvl w:val="1"/>
          <w:numId w:val="4"/>
        </w:numPr>
        <w:spacing w:lineRule="auto" w:line="240" w:before="31" w:after="62"/>
        <w:jc w:val="both"/>
        <w:rPr>
          <w:rFonts w:ascii="Arial" w:hAnsi="Arial" w:eastAsia="Times New Roman" w:cs="ArialMT"/>
          <w:b w:val="false"/>
          <w:b w:val="false"/>
          <w:bCs w:val="false"/>
          <w:i w:val="false"/>
          <w:i w:val="false"/>
          <w:iCs w:val="false"/>
          <w:color w:val="auto"/>
          <w:kern w:val="0"/>
          <w:sz w:val="19"/>
          <w:szCs w:val="19"/>
          <w:u w:val="none"/>
          <w:shd w:fill="auto" w:val="clear"/>
          <w:lang w:val="pt-BR" w:eastAsia="zh-CN" w:bidi="ar-SA"/>
        </w:rPr>
      </w:pPr>
      <w:r>
        <w:rPr>
          <w:rFonts w:eastAsia="Times New Roman" w:cs="ArialMT"/>
          <w:b w:val="false"/>
          <w:bCs w:val="false"/>
          <w:i w:val="false"/>
          <w:iCs w:val="false"/>
          <w:color w:val="111111"/>
          <w:kern w:val="0"/>
          <w:sz w:val="19"/>
          <w:szCs w:val="19"/>
          <w:u w:val="none"/>
          <w:shd w:fill="auto" w:val="clear"/>
          <w:lang w:val="pt-BR" w:eastAsia="zh-CN" w:bidi="ar-SA"/>
        </w:rPr>
        <w:t>Os documentos previstos nesse edital, necessários e suficientes para demonstrar a capacidade do licitante de realizar o objeto da licitação, serão exigidos para fins de habilitação, nos termos dos arts. 62 a 70 da Lei nº 14.133, de 2021.</w:t>
      </w:r>
    </w:p>
    <w:p>
      <w:pPr>
        <w:pStyle w:val="Corpodotexto"/>
        <w:numPr>
          <w:ilvl w:val="2"/>
          <w:numId w:val="4"/>
        </w:numPr>
        <w:spacing w:lineRule="auto" w:line="240" w:before="31" w:after="62"/>
        <w:jc w:val="both"/>
        <w:rPr>
          <w:shd w:fill="auto" w:val="clear"/>
        </w:rPr>
      </w:pPr>
      <w:r>
        <w:rPr>
          <w:shd w:fill="auto" w:val="clear"/>
        </w:rPr>
        <w:t>A documentação exigida para fins de habilitação jurídica, fiscal, social e trabalhista e econômico-ﬁnanceira, poderá ser substituída pelo registro cadastral no SICAF.</w:t>
      </w:r>
    </w:p>
    <w:p>
      <w:pPr>
        <w:pStyle w:val="Corpodotexto"/>
        <w:numPr>
          <w:ilvl w:val="1"/>
          <w:numId w:val="4"/>
        </w:numPr>
        <w:spacing w:lineRule="auto" w:line="240" w:before="31" w:after="62"/>
        <w:jc w:val="both"/>
        <w:rPr/>
      </w:pPr>
      <w:r>
        <w:rPr/>
        <w:t>Quando permitida a participação de empresas estrangeiras que não funcionem no País, as exigências de habilitação serão atendidas mediante documentos equivalentes, inicialmente apresentados em tradução livre.</w:t>
      </w:r>
    </w:p>
    <w:p>
      <w:pPr>
        <w:pStyle w:val="Corpodotexto"/>
        <w:numPr>
          <w:ilvl w:val="1"/>
          <w:numId w:val="4"/>
        </w:numPr>
        <w:spacing w:lineRule="auto" w:line="240" w:before="31" w:after="62"/>
        <w:jc w:val="both"/>
        <w:rPr/>
      </w:pPr>
      <w: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Corpodotexto"/>
        <w:numPr>
          <w:ilvl w:val="1"/>
          <w:numId w:val="4"/>
        </w:numPr>
        <w:spacing w:lineRule="auto" w:line="240" w:before="31" w:after="62"/>
        <w:jc w:val="both"/>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Corpodotexto"/>
        <w:numPr>
          <w:ilvl w:val="1"/>
          <w:numId w:val="4"/>
        </w:numPr>
        <w:spacing w:lineRule="auto" w:line="240" w:before="31" w:after="62"/>
        <w:jc w:val="both"/>
        <w:rPr/>
      </w:pPr>
      <w:r>
        <w:rPr/>
        <w:t>Os documentos exigidos para fins de habilitação poderão ser apresentados em original ou por cópia.</w:t>
      </w:r>
    </w:p>
    <w:p>
      <w:pPr>
        <w:pStyle w:val="Corpodotexto"/>
        <w:numPr>
          <w:ilvl w:val="1"/>
          <w:numId w:val="4"/>
        </w:numPr>
        <w:spacing w:lineRule="auto" w:line="240" w:before="31" w:after="62"/>
        <w:jc w:val="both"/>
        <w:rPr/>
      </w:pPr>
      <w:r>
        <w:rPr/>
        <w:t>Os documentos exigidos para fins de habilitação poderão ser substituídos por registro cadastral emitido por órgão ou entidade pública, desde que o registro tenha sido feito em obediência ao disposto na Lei nº 14.133/2021.</w:t>
      </w:r>
    </w:p>
    <w:p>
      <w:pPr>
        <w:pStyle w:val="Corpodotexto"/>
        <w:numPr>
          <w:ilvl w:val="1"/>
          <w:numId w:val="4"/>
        </w:numPr>
        <w:spacing w:lineRule="auto" w:line="240" w:before="31" w:after="62"/>
        <w:jc w:val="both"/>
        <w:rPr/>
      </w:pPr>
      <w:r>
        <w:rPr/>
        <w:t>Será verificado se o licitante apresentou declaração de que atende aos requisitos de habilitação, e o declarante responderá pela veracidade das informações prestadas, na forma da lei .</w:t>
      </w:r>
    </w:p>
    <w:p>
      <w:pPr>
        <w:pStyle w:val="Corpodotexto"/>
        <w:numPr>
          <w:ilvl w:val="1"/>
          <w:numId w:val="4"/>
        </w:numPr>
        <w:spacing w:lineRule="auto" w:line="240" w:before="31" w:after="62"/>
        <w:jc w:val="both"/>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Corpodotexto"/>
        <w:numPr>
          <w:ilvl w:val="1"/>
          <w:numId w:val="4"/>
        </w:numPr>
        <w:spacing w:lineRule="auto" w:line="240" w:before="31" w:after="62"/>
        <w:jc w:val="both"/>
        <w:rPr/>
      </w:pPr>
      <w:r>
        <w:rPr/>
        <w:t>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Corpodotexto"/>
        <w:numPr>
          <w:ilvl w:val="1"/>
          <w:numId w:val="4"/>
        </w:numPr>
        <w:spacing w:lineRule="auto" w:line="240" w:before="31" w:after="62"/>
        <w:jc w:val="both"/>
        <w:rPr/>
      </w:pPr>
      <w:r>
        <w:rPr/>
        <w:t>A habilitação será verificada por meio do Sicaf, nos documentos por ele abrangidos.</w:t>
      </w:r>
    </w:p>
    <w:p>
      <w:pPr>
        <w:pStyle w:val="Corpodotexto"/>
        <w:numPr>
          <w:ilvl w:val="2"/>
          <w:numId w:val="4"/>
        </w:numPr>
        <w:spacing w:lineRule="auto" w:line="240" w:before="31" w:after="62"/>
        <w:jc w:val="both"/>
        <w:rPr/>
      </w:pPr>
      <w:r>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Corpodotexto"/>
        <w:numPr>
          <w:ilvl w:val="1"/>
          <w:numId w:val="4"/>
        </w:numPr>
        <w:spacing w:lineRule="auto" w:line="240" w:before="31" w:after="62"/>
        <w:jc w:val="both"/>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Corpodotexto"/>
        <w:numPr>
          <w:ilvl w:val="2"/>
          <w:numId w:val="4"/>
        </w:numPr>
        <w:spacing w:lineRule="auto" w:line="240" w:before="31" w:after="62"/>
        <w:jc w:val="both"/>
        <w:rPr/>
      </w:pPr>
      <w:r>
        <w:rPr/>
        <w:t>A não observância do disposto no item anterior poderá ensejar desclassificação no momento da habilitação. (IN nº 3/2018, art. 7º, parágrafo único).</w:t>
      </w:r>
    </w:p>
    <w:p>
      <w:pPr>
        <w:pStyle w:val="Corpodotexto"/>
        <w:numPr>
          <w:ilvl w:val="1"/>
          <w:numId w:val="4"/>
        </w:numPr>
        <w:spacing w:lineRule="auto" w:line="240" w:before="31" w:after="62"/>
        <w:jc w:val="both"/>
        <w:rPr/>
      </w:pPr>
      <w:r>
        <w:rPr/>
        <w:t>A verificação pelo Pregoeiro, em sítios eletrônicos oficiais de órgãos e entidades emissores de certidões constitui meio legal de prova, para fins de habilitação.</w:t>
      </w:r>
    </w:p>
    <w:p>
      <w:pPr>
        <w:pStyle w:val="Corpodotexto"/>
        <w:numPr>
          <w:ilvl w:val="1"/>
          <w:numId w:val="4"/>
        </w:numPr>
        <w:spacing w:lineRule="auto" w:line="240" w:before="31" w:after="62"/>
        <w:jc w:val="both"/>
        <w:rPr/>
      </w:pPr>
      <w:r>
        <w:rPr/>
        <w:t>Os documentos exigidos para habilitação que não estejam contemplados no Sicaf serão enviados por meio do sistema, em formato digital, no prazo de 2 horas, prorrogável por igual período, contado da solicitação do Pregoeiro.</w:t>
      </w:r>
    </w:p>
    <w:p>
      <w:pPr>
        <w:pStyle w:val="Corpodotexto"/>
        <w:numPr>
          <w:ilvl w:val="1"/>
          <w:numId w:val="4"/>
        </w:numPr>
        <w:spacing w:lineRule="auto" w:line="240" w:before="31" w:after="62"/>
        <w:jc w:val="both"/>
        <w:rPr/>
      </w:pPr>
      <w:r>
        <w:rPr/>
        <w:t>A verificação no Sicaf ou a exigência dos documentos nele não contidos somente será feita em relação ao licitante vencedor.</w:t>
      </w:r>
    </w:p>
    <w:p>
      <w:pPr>
        <w:pStyle w:val="Corpodotexto"/>
        <w:numPr>
          <w:ilvl w:val="2"/>
          <w:numId w:val="4"/>
        </w:numPr>
        <w:spacing w:lineRule="auto" w:line="240" w:before="31" w:after="62"/>
        <w:jc w:val="both"/>
        <w:rPr/>
      </w:pPr>
      <w:r>
        <w:rPr/>
        <w:t>Os documentos relativos à regularidade fiscal que constem do Termo de Referência somente serão exigidos, em qualquer caso, em momento posterior ao julgamento das propostas, e apenas do licitante mais bem classificado.</w:t>
      </w:r>
    </w:p>
    <w:p>
      <w:pPr>
        <w:pStyle w:val="Corpodotexto"/>
        <w:numPr>
          <w:ilvl w:val="2"/>
          <w:numId w:val="4"/>
        </w:numPr>
        <w:spacing w:lineRule="auto" w:line="240" w:before="31" w:after="62"/>
        <w:jc w:val="both"/>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Corpodotexto"/>
        <w:numPr>
          <w:ilvl w:val="1"/>
          <w:numId w:val="4"/>
        </w:numPr>
        <w:spacing w:lineRule="auto" w:line="240" w:before="31" w:after="62"/>
        <w:jc w:val="both"/>
        <w:rPr>
          <w:shd w:fill="auto" w:val="clear"/>
        </w:rPr>
      </w:pPr>
      <w:r>
        <w:rPr>
          <w:shd w:fill="auto" w:val="clear"/>
        </w:rPr>
        <w:t>Encerrado o prazo para envio da documentação de que trata o item 10.13, poderá ser admitida, mediante decisão fundamentada do Pregoeiro/Agente de Contratação, a apresentação de complementação de informações acerca dos documentos já apresentados pelos licitantes, em sede de diligência, para:</w:t>
      </w:r>
    </w:p>
    <w:p>
      <w:pPr>
        <w:pStyle w:val="Corpodotexto"/>
        <w:numPr>
          <w:ilvl w:val="2"/>
          <w:numId w:val="4"/>
        </w:numPr>
        <w:spacing w:lineRule="auto" w:line="240" w:before="31" w:after="62"/>
        <w:jc w:val="both"/>
        <w:rPr/>
      </w:pPr>
      <w:r>
        <w:rPr/>
        <w:t>a aferição das condições de habilitação do licitante, desde que decorrentes de fatos existentes à época da abertura do certame;</w:t>
      </w:r>
    </w:p>
    <w:p>
      <w:pPr>
        <w:pStyle w:val="Corpodotexto"/>
        <w:numPr>
          <w:ilvl w:val="2"/>
          <w:numId w:val="4"/>
        </w:numPr>
        <w:spacing w:lineRule="auto" w:line="240" w:before="31" w:after="62"/>
        <w:jc w:val="both"/>
        <w:rPr/>
      </w:pPr>
      <w:r>
        <w:rPr/>
        <w:t>atualização de documentos cuja validade tenha expirado após a data de recebimento das propostas;</w:t>
      </w:r>
    </w:p>
    <w:p>
      <w:pPr>
        <w:pStyle w:val="Corpodotexto"/>
        <w:numPr>
          <w:ilvl w:val="2"/>
          <w:numId w:val="4"/>
        </w:numPr>
        <w:spacing w:lineRule="auto" w:line="240" w:before="31" w:after="62"/>
        <w:jc w:val="both"/>
        <w:rPr/>
      </w:pPr>
      <w:r>
        <w:rPr/>
        <w:t xml:space="preserve"> </w:t>
      </w:r>
      <w:r>
        <w:rPr/>
        <w:t>suprimento da ausência de documento de cunho declaratório emitido unilateralmente pelo licitante;</w:t>
      </w:r>
    </w:p>
    <w:p>
      <w:pPr>
        <w:pStyle w:val="Corpodotexto"/>
        <w:numPr>
          <w:ilvl w:val="2"/>
          <w:numId w:val="4"/>
        </w:numPr>
        <w:spacing w:lineRule="auto" w:line="240" w:before="31" w:after="62"/>
        <w:jc w:val="both"/>
        <w:rPr/>
      </w:pPr>
      <w:r>
        <w:rPr/>
        <w:t>suprimento da ausência de certidão e/ou documento de cunho declaratório expedido por órgão ou entidade cujos atos gozem de presunção de veracidade e fé pública.</w:t>
      </w:r>
    </w:p>
    <w:p>
      <w:pPr>
        <w:pStyle w:val="Corpodotexto"/>
        <w:numPr>
          <w:ilvl w:val="1"/>
          <w:numId w:val="4"/>
        </w:numPr>
        <w:spacing w:lineRule="auto" w:line="240" w:before="31" w:after="62"/>
        <w:jc w:val="both"/>
        <w:rPr/>
      </w:pPr>
      <w:r>
        <w:rPr/>
        <w:t>Findo o prazo assinalado sem o envio da nova documentação, restará preclusa essa oportunidade conferida ao licitante, implicando sua inabilitação.</w:t>
      </w:r>
    </w:p>
    <w:p>
      <w:pPr>
        <w:pStyle w:val="Corpodotexto"/>
        <w:numPr>
          <w:ilvl w:val="1"/>
          <w:numId w:val="4"/>
        </w:numPr>
        <w:spacing w:lineRule="auto" w:line="240" w:before="31" w:after="62"/>
        <w:jc w:val="both"/>
        <w:rPr/>
      </w:pPr>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Corpodotexto"/>
        <w:numPr>
          <w:ilvl w:val="1"/>
          <w:numId w:val="4"/>
        </w:numPr>
        <w:spacing w:lineRule="auto" w:line="240" w:before="31" w:after="62"/>
        <w:jc w:val="both"/>
        <w:rPr/>
      </w:pPr>
      <w:r>
        <w:rPr/>
        <w:t xml:space="preserve"> </w:t>
      </w:r>
      <w: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p>
    <w:p>
      <w:pPr>
        <w:pStyle w:val="Corpodotexto"/>
        <w:numPr>
          <w:ilvl w:val="1"/>
          <w:numId w:val="4"/>
        </w:numPr>
        <w:spacing w:lineRule="auto" w:line="240" w:before="31" w:after="62"/>
        <w:jc w:val="both"/>
        <w:rPr/>
      </w:pPr>
      <w:r>
        <w:rPr/>
        <w:t>Somente serão disponibilizados para acesso público os documentos de habilitação do licitante cuja proposta atenda ao edital de licitação, após concluídos os procedimentos de que trata o subitem anterior.</w:t>
      </w:r>
    </w:p>
    <w:p>
      <w:pPr>
        <w:pStyle w:val="Corpodotexto"/>
        <w:numPr>
          <w:ilvl w:val="1"/>
          <w:numId w:val="4"/>
        </w:numPr>
        <w:spacing w:lineRule="auto" w:line="240" w:before="31" w:after="62"/>
        <w:jc w:val="both"/>
        <w:rPr/>
      </w:pPr>
      <w:r>
        <w:rPr/>
        <w:t>A comprovação de regularidade fiscal e trabalhista das microempresas e das empresas de pequeno porte somente será exigida para efeito de contratação, e não como condição para participação na licitação (art. 4º do Decreto nº 8.538/2015).</w:t>
      </w:r>
    </w:p>
    <w:p>
      <w:pPr>
        <w:pStyle w:val="Corpodotexto"/>
        <w:numPr>
          <w:ilvl w:val="1"/>
          <w:numId w:val="4"/>
        </w:numPr>
        <w:spacing w:lineRule="auto" w:line="240" w:before="31" w:after="62"/>
        <w:jc w:val="both"/>
        <w:rPr/>
      </w:pPr>
      <w:r>
        <w:rPr>
          <w:b/>
          <w:bCs/>
          <w:color w:val="111111"/>
          <w:shd w:fill="auto" w:val="clear"/>
        </w:rPr>
        <w:t>Caso não estejam digitalmente disponíveis no SICAF, compreende condição para HABILITAÇÃO, a anexação na plataforma eletrônica dos seguintes documentos:</w:t>
      </w:r>
    </w:p>
    <w:p>
      <w:pPr>
        <w:pStyle w:val="Corpodotexto"/>
        <w:numPr>
          <w:ilvl w:val="2"/>
          <w:numId w:val="4"/>
        </w:numPr>
        <w:spacing w:lineRule="auto" w:line="240" w:before="31" w:after="62"/>
        <w:jc w:val="both"/>
        <w:rPr>
          <w:b/>
          <w:b/>
          <w:bCs/>
          <w:u w:val="single"/>
        </w:rPr>
      </w:pPr>
      <w:r>
        <w:rPr>
          <w:b/>
          <w:bCs/>
          <w:u w:val="single"/>
        </w:rPr>
        <w:t>Habilitação Jurídica:</w:t>
      </w:r>
    </w:p>
    <w:p>
      <w:pPr>
        <w:pStyle w:val="Corpodotexto"/>
        <w:numPr>
          <w:ilvl w:val="5"/>
          <w:numId w:val="4"/>
        </w:numPr>
        <w:spacing w:lineRule="auto" w:line="240" w:before="31" w:after="62"/>
        <w:jc w:val="both"/>
        <w:rPr>
          <w:shd w:fill="auto" w:val="clear"/>
        </w:rPr>
      </w:pPr>
      <w:r>
        <w:rPr>
          <w:b/>
          <w:bCs/>
          <w:shd w:fill="auto" w:val="clear"/>
        </w:rPr>
        <w:t>Ato Constitutivo, Estatuto ou Contrato Social</w:t>
      </w:r>
      <w:r>
        <w:rPr>
          <w:shd w:fill="auto" w:val="clear"/>
        </w:rPr>
        <w:t xml:space="preserve">, devidamente acompanhados de todas as alterações que foram feitas no respectivo documento. Caso haja “Consolidação”, poderá ser apresentada somente a Consolidação e as alterações posteriores. Para microempreendedores individuais (MEI) apresentar o </w:t>
      </w:r>
      <w:r>
        <w:rPr>
          <w:b/>
          <w:bCs/>
          <w:shd w:fill="auto" w:val="clear"/>
        </w:rPr>
        <w:t>Certificado de Condição de Microempreendedor Individual</w:t>
      </w:r>
      <w:r>
        <w:rPr>
          <w:shd w:fill="auto" w:val="clear"/>
        </w:rPr>
        <w:t xml:space="preserve"> com validade de até 180 dias contados da data de emissão</w:t>
      </w:r>
    </w:p>
    <w:p>
      <w:pPr>
        <w:pStyle w:val="Corpodotexto"/>
        <w:numPr>
          <w:ilvl w:val="2"/>
          <w:numId w:val="4"/>
        </w:numPr>
        <w:spacing w:lineRule="auto" w:line="240" w:before="57" w:after="62"/>
        <w:jc w:val="both"/>
        <w:rPr>
          <w:b/>
          <w:b/>
          <w:bCs/>
          <w:u w:val="single"/>
        </w:rPr>
      </w:pPr>
      <w:r>
        <w:rPr>
          <w:b/>
          <w:bCs/>
          <w:u w:val="single"/>
        </w:rPr>
        <w:t>Qualificação Econômico-Financeira:</w:t>
      </w:r>
    </w:p>
    <w:p>
      <w:pPr>
        <w:pStyle w:val="Corpodotexto"/>
        <w:numPr>
          <w:ilvl w:val="5"/>
          <w:numId w:val="4"/>
        </w:numPr>
        <w:spacing w:lineRule="auto" w:line="240" w:before="31" w:after="62"/>
        <w:jc w:val="both"/>
        <w:rPr/>
      </w:pPr>
      <w:r>
        <w:rPr>
          <w:b/>
          <w:bCs/>
        </w:rPr>
        <w:t>Certidão Negativa de Falência e Concordata ou Recuperação Judicial</w:t>
      </w:r>
      <w:r>
        <w:rPr/>
        <w:t>, expedida pelo Cartório Distribuidor, da matriz da pessoa jurídica. As licitantes em recuperação judicial deverão encaminhar certidão emitida pela instância judicial competente, que certifique que a interessada está apta econômica e financeiramente a participar do procedimento licitatório. (acórdão 1201/2020-TCU).</w:t>
      </w:r>
    </w:p>
    <w:p>
      <w:pPr>
        <w:pStyle w:val="Corpodotexto"/>
        <w:numPr>
          <w:ilvl w:val="2"/>
          <w:numId w:val="4"/>
        </w:numPr>
        <w:spacing w:lineRule="auto" w:line="240" w:before="31" w:after="62"/>
        <w:jc w:val="both"/>
        <w:rPr/>
      </w:pPr>
      <w:r>
        <w:rPr>
          <w:b/>
          <w:bCs/>
          <w:u w:val="single"/>
        </w:rPr>
        <w:t>Habilitação Fiscal, Social e Trabalhista:</w:t>
      </w:r>
    </w:p>
    <w:p>
      <w:pPr>
        <w:pStyle w:val="Corpodotexto"/>
        <w:numPr>
          <w:ilvl w:val="5"/>
          <w:numId w:val="4"/>
        </w:numPr>
        <w:spacing w:lineRule="auto" w:line="240" w:before="31" w:after="62"/>
        <w:jc w:val="both"/>
        <w:rPr/>
      </w:pPr>
      <w:r>
        <w:rPr>
          <w:b/>
          <w:bCs/>
        </w:rPr>
        <w:t>Situação perante o Cadastro Nacional de Pessoas Jurídicas</w:t>
      </w:r>
      <w:r>
        <w:rPr/>
        <w:t xml:space="preserve"> do Ministério da Fazenda (Cartão CNPJ),  emitida até 180 dias antes da data de seu recebimento. </w:t>
      </w:r>
    </w:p>
    <w:p>
      <w:pPr>
        <w:pStyle w:val="Corpodotexto"/>
        <w:numPr>
          <w:ilvl w:val="5"/>
          <w:numId w:val="4"/>
        </w:numPr>
        <w:spacing w:lineRule="auto" w:line="240" w:before="31" w:after="62"/>
        <w:jc w:val="both"/>
        <w:rPr/>
      </w:pPr>
      <w:r>
        <w:rPr>
          <w:b/>
          <w:bCs/>
        </w:rPr>
        <w:t xml:space="preserve">Prova de regularidade relativo aos Tributos Federais e à Dívida Ativa da União </w:t>
      </w:r>
      <w:r>
        <w:rPr>
          <w:b w:val="false"/>
          <w:bCs w:val="false"/>
        </w:rPr>
        <w:t>do domicílio da empresa</w:t>
      </w:r>
      <w:r>
        <w:rPr>
          <w:b/>
          <w:bCs/>
        </w:rPr>
        <w:t>.</w:t>
      </w:r>
    </w:p>
    <w:p>
      <w:pPr>
        <w:pStyle w:val="Corpodotexto"/>
        <w:numPr>
          <w:ilvl w:val="5"/>
          <w:numId w:val="4"/>
        </w:numPr>
        <w:spacing w:lineRule="auto" w:line="240" w:before="31" w:after="62"/>
        <w:jc w:val="both"/>
        <w:rPr/>
      </w:pPr>
      <w:r>
        <w:rPr>
          <w:b/>
          <w:bCs/>
        </w:rPr>
        <w:t>Prova de regularidade relativo aos Débitos da Fazenda Estadual</w:t>
      </w:r>
      <w:r>
        <w:rPr/>
        <w:t xml:space="preserve"> do domicílio da empresa.</w:t>
      </w:r>
    </w:p>
    <w:p>
      <w:pPr>
        <w:pStyle w:val="Corpodotexto"/>
        <w:numPr>
          <w:ilvl w:val="5"/>
          <w:numId w:val="4"/>
        </w:numPr>
        <w:spacing w:lineRule="auto" w:line="240" w:before="31" w:after="62"/>
        <w:jc w:val="both"/>
        <w:rPr/>
      </w:pPr>
      <w:r>
        <w:rPr>
          <w:b/>
          <w:bCs/>
        </w:rPr>
        <w:t>Prova de regularidade relativo aos Débitos Municipais</w:t>
      </w:r>
      <w:r>
        <w:rPr/>
        <w:t>, do domicílio da empresa e caso exista filial no Município de Cianorte a prova de regularidade desta também deverá ser apresentada.</w:t>
      </w:r>
    </w:p>
    <w:p>
      <w:pPr>
        <w:pStyle w:val="Corpodotexto"/>
        <w:numPr>
          <w:ilvl w:val="5"/>
          <w:numId w:val="4"/>
        </w:numPr>
        <w:spacing w:lineRule="auto" w:line="240" w:before="31" w:after="62"/>
        <w:jc w:val="both"/>
        <w:rPr/>
      </w:pPr>
      <w:r>
        <w:rPr>
          <w:b/>
          <w:bCs/>
        </w:rPr>
        <w:t>Prova de regularidade junto ao Fundo de Garantia por Tempo de Serviço</w:t>
      </w:r>
      <w:r>
        <w:rPr/>
        <w:t>, FGTS, em vigor, demonstrando a situação regular ao cumprimento dos encargos sociais instituídos por lei.</w:t>
      </w:r>
    </w:p>
    <w:p>
      <w:pPr>
        <w:pStyle w:val="Corpodotexto"/>
        <w:numPr>
          <w:ilvl w:val="5"/>
          <w:numId w:val="4"/>
        </w:numPr>
        <w:spacing w:lineRule="auto" w:line="240" w:before="31" w:after="62"/>
        <w:jc w:val="both"/>
        <w:rPr/>
      </w:pPr>
      <w:r>
        <w:rPr>
          <w:b/>
          <w:bCs/>
        </w:rPr>
        <w:t xml:space="preserve">Prova de regularidade de Débitos Trabalhistas (CNDT) </w:t>
      </w:r>
      <w:r>
        <w:rPr>
          <w:b w:val="false"/>
          <w:bCs w:val="false"/>
        </w:rPr>
        <w:t>com data de emissão não anterior a 180 (cento e oitenta) dias da data de abertura e julgamento, conforme Lei 12.440 de 07 de julho de 2011.</w:t>
      </w:r>
    </w:p>
    <w:p>
      <w:pPr>
        <w:pStyle w:val="Corpodotexto"/>
        <w:numPr>
          <w:ilvl w:val="5"/>
          <w:numId w:val="4"/>
        </w:numPr>
        <w:spacing w:lineRule="auto" w:line="240" w:before="31" w:after="62"/>
        <w:jc w:val="both"/>
        <w:rPr/>
      </w:pPr>
      <w:bookmarkStart w:id="1" w:name="__DdeLink__89062_1124057193"/>
      <w:r>
        <w:rPr>
          <w:b/>
          <w:bCs/>
        </w:rPr>
        <w:t xml:space="preserve">Comprovante de Inscrição Cadastral – CICAD, ou Cadastro de Inscrição Estadual, </w:t>
      </w:r>
      <w:r>
        <w:rPr>
          <w:b w:val="false"/>
          <w:bCs w:val="false"/>
        </w:rPr>
        <w:t>referente à inscrição da empresa junto a Receita Estadual. (documento dispensado para MEI)</w:t>
      </w:r>
      <w:bookmarkEnd w:id="1"/>
    </w:p>
    <w:p>
      <w:pPr>
        <w:pStyle w:val="Corpodotexto"/>
        <w:numPr>
          <w:ilvl w:val="1"/>
          <w:numId w:val="4"/>
        </w:numPr>
        <w:spacing w:lineRule="auto" w:line="240" w:before="31" w:after="62"/>
        <w:jc w:val="both"/>
        <w:rPr>
          <w:rFonts w:ascii="Arial" w:hAnsi="Arial"/>
          <w:b/>
          <w:b/>
          <w:bCs/>
          <w:sz w:val="19"/>
          <w:szCs w:val="19"/>
          <w:u w:val="single"/>
          <w:shd w:fill="auto" w:val="clear"/>
        </w:rPr>
      </w:pPr>
      <w:r>
        <w:rPr>
          <w:b/>
          <w:bCs/>
          <w:sz w:val="19"/>
          <w:szCs w:val="19"/>
          <w:u w:val="single"/>
          <w:shd w:fill="auto" w:val="clear"/>
        </w:rPr>
        <w:t>Outras declarações</w:t>
      </w:r>
    </w:p>
    <w:p>
      <w:pPr>
        <w:pStyle w:val="Normal"/>
        <w:widowControl w:val="false"/>
        <w:numPr>
          <w:ilvl w:val="5"/>
          <w:numId w:val="4"/>
        </w:numPr>
        <w:overflowPunct w:val="false"/>
        <w:spacing w:lineRule="auto" w:line="240" w:before="57" w:after="57"/>
        <w:ind w:left="454" w:right="0" w:hanging="0"/>
        <w:jc w:val="both"/>
        <w:textAlignment w:val="baseline"/>
        <w:rPr>
          <w:rFonts w:ascii="Arial" w:hAnsi="Arial"/>
          <w:b/>
          <w:b/>
          <w:bCs/>
          <w:color w:val="000000"/>
          <w:sz w:val="19"/>
          <w:szCs w:val="19"/>
          <w:u w:val="single"/>
          <w:shd w:fill="auto" w:val="clear"/>
        </w:rPr>
      </w:pPr>
      <w:r>
        <w:rPr>
          <w:rFonts w:ascii="Arial" w:hAnsi="Arial"/>
          <w:b/>
          <w:bCs/>
          <w:color w:val="000000"/>
          <w:sz w:val="19"/>
          <w:szCs w:val="19"/>
          <w:u w:val="single"/>
          <w:shd w:fill="auto" w:val="clear"/>
        </w:rPr>
        <w:t>Declaração da licitante conforme modelo ANEXO III, de:</w:t>
      </w:r>
    </w:p>
    <w:p>
      <w:pPr>
        <w:pStyle w:val="Corpodotexto"/>
        <w:numPr>
          <w:ilvl w:val="0"/>
          <w:numId w:val="0"/>
        </w:numPr>
        <w:spacing w:lineRule="auto" w:line="240" w:before="0" w:after="0"/>
        <w:ind w:left="851" w:right="0" w:hanging="0"/>
        <w:jc w:val="both"/>
        <w:rPr>
          <w:b w:val="false"/>
          <w:b w:val="false"/>
          <w:bCs w:val="false"/>
          <w:shd w:fill="auto" w:val="clear"/>
        </w:rPr>
      </w:pPr>
      <w:r>
        <w:rPr>
          <w:rFonts w:eastAsia="Times New Roman" w:cs="ArialMT"/>
          <w:b w:val="false"/>
          <w:bCs w:val="false"/>
          <w:color w:val="000000"/>
          <w:sz w:val="19"/>
          <w:szCs w:val="19"/>
          <w:shd w:fill="auto" w:val="clear"/>
          <w:lang w:val="pt-BR" w:eastAsia="zh-CN" w:bidi="ar-SA"/>
        </w:rPr>
        <w:t>a-1) I</w:t>
      </w:r>
      <w:r>
        <w:rPr>
          <w:b w:val="false"/>
          <w:bCs w:val="false"/>
          <w:shd w:fill="auto" w:val="clear"/>
        </w:rPr>
        <w:t>doneidade e inexistência de superveniente impeditivo de licitação.</w:t>
      </w:r>
    </w:p>
    <w:p>
      <w:pPr>
        <w:pStyle w:val="Corpodotexto"/>
        <w:numPr>
          <w:ilvl w:val="0"/>
          <w:numId w:val="0"/>
        </w:numPr>
        <w:spacing w:lineRule="auto" w:line="240" w:before="0" w:after="0"/>
        <w:ind w:left="851" w:right="0" w:hanging="0"/>
        <w:jc w:val="both"/>
        <w:rPr>
          <w:b w:val="false"/>
          <w:b w:val="false"/>
          <w:bCs w:val="false"/>
          <w:shd w:fill="auto" w:val="clear"/>
        </w:rPr>
      </w:pPr>
      <w:r>
        <w:rPr>
          <w:b w:val="false"/>
          <w:bCs w:val="false"/>
          <w:shd w:fill="auto" w:val="clear"/>
        </w:rPr>
        <w:t>a-2) Atendimento aos requisitos de habilitação.</w:t>
      </w:r>
    </w:p>
    <w:p>
      <w:pPr>
        <w:pStyle w:val="Corpodotexto"/>
        <w:numPr>
          <w:ilvl w:val="0"/>
          <w:numId w:val="0"/>
        </w:numPr>
        <w:spacing w:lineRule="auto" w:line="240" w:before="0" w:after="0"/>
        <w:ind w:left="851" w:right="0" w:hanging="0"/>
        <w:jc w:val="both"/>
        <w:rPr/>
      </w:pPr>
      <w:r>
        <w:rPr>
          <w:rFonts w:eastAsia="Times New Roman" w:cs="ArialMT"/>
          <w:b w:val="false"/>
          <w:bCs w:val="false"/>
          <w:color w:val="000000"/>
          <w:sz w:val="19"/>
          <w:szCs w:val="19"/>
          <w:shd w:fill="auto" w:val="clear"/>
          <w:lang w:val="pt-BR" w:eastAsia="zh-CN" w:bidi="ar-SA"/>
        </w:rPr>
        <w:t>a-3) Reserva de cargos.</w:t>
      </w:r>
    </w:p>
    <w:p>
      <w:pPr>
        <w:pStyle w:val="Corpodotexto"/>
        <w:numPr>
          <w:ilvl w:val="0"/>
          <w:numId w:val="0"/>
        </w:numPr>
        <w:spacing w:lineRule="auto" w:line="240" w:before="0" w:after="0"/>
        <w:ind w:left="851" w:right="0" w:hanging="0"/>
        <w:jc w:val="both"/>
        <w:rPr/>
      </w:pPr>
      <w:r>
        <w:rPr>
          <w:rFonts w:eastAsia="Times New Roman" w:cs="ArialMT"/>
          <w:b w:val="false"/>
          <w:bCs w:val="false"/>
          <w:color w:val="000000"/>
          <w:sz w:val="19"/>
          <w:szCs w:val="19"/>
          <w:shd w:fill="auto" w:val="clear"/>
          <w:lang w:val="pt-BR" w:eastAsia="zh-CN" w:bidi="ar-SA"/>
        </w:rPr>
        <w:t>a-4) Art. 7º, inc. XXXIII da Constituição Federal.</w:t>
      </w:r>
    </w:p>
    <w:p>
      <w:pPr>
        <w:pStyle w:val="Corpodotexto"/>
        <w:numPr>
          <w:ilvl w:val="0"/>
          <w:numId w:val="0"/>
        </w:numPr>
        <w:spacing w:lineRule="auto" w:line="240" w:before="0" w:after="0"/>
        <w:ind w:left="851" w:right="0" w:hanging="0"/>
        <w:jc w:val="both"/>
        <w:rPr/>
      </w:pPr>
      <w:r>
        <w:rPr>
          <w:rFonts w:eastAsia="Times New Roman" w:cs="ArialMT"/>
          <w:b w:val="false"/>
          <w:bCs w:val="false"/>
          <w:color w:val="000000"/>
          <w:shd w:fill="auto" w:val="clear"/>
          <w:lang w:eastAsia="zh-CN"/>
        </w:rPr>
        <w:t>a-5) Atendimento dos direitos trabalhistas.</w:t>
      </w:r>
    </w:p>
    <w:p>
      <w:pPr>
        <w:pStyle w:val="Corpodotexto"/>
        <w:numPr>
          <w:ilvl w:val="0"/>
          <w:numId w:val="0"/>
        </w:numPr>
        <w:spacing w:lineRule="auto" w:line="240" w:before="0" w:after="0"/>
        <w:ind w:left="851" w:right="0" w:hanging="0"/>
        <w:jc w:val="both"/>
        <w:rPr>
          <w:rFonts w:eastAsia="Times New Roman" w:cs="ArialMT"/>
          <w:b w:val="false"/>
          <w:b w:val="false"/>
          <w:bCs w:val="false"/>
          <w:i/>
          <w:i/>
          <w:iCs/>
          <w:color w:val="000000"/>
          <w:shd w:fill="auto" w:val="clear"/>
          <w:lang w:eastAsia="zh-CN"/>
        </w:rPr>
      </w:pPr>
      <w:r>
        <w:rPr>
          <w:rFonts w:eastAsia="Times New Roman" w:cs="ArialMT"/>
          <w:b w:val="false"/>
          <w:bCs w:val="false"/>
          <w:color w:val="000000"/>
          <w:shd w:fill="auto" w:val="clear"/>
          <w:lang w:eastAsia="zh-CN"/>
        </w:rPr>
        <w:t>a-6)Enquadramento da empresa como ME/EPP/MEI.</w:t>
      </w:r>
    </w:p>
    <w:p>
      <w:pPr>
        <w:pStyle w:val="Corpodotexto"/>
        <w:numPr>
          <w:ilvl w:val="0"/>
          <w:numId w:val="0"/>
        </w:numPr>
        <w:spacing w:lineRule="auto" w:line="240" w:before="0" w:after="0"/>
        <w:ind w:left="1077" w:right="0" w:hanging="0"/>
        <w:jc w:val="both"/>
        <w:rPr>
          <w:rFonts w:eastAsia="Times New Roman" w:cs="ArialMT"/>
          <w:b w:val="false"/>
          <w:b w:val="false"/>
          <w:bCs w:val="false"/>
          <w:i/>
          <w:i/>
          <w:iCs/>
          <w:color w:val="auto"/>
          <w:shd w:fill="auto" w:val="clear"/>
          <w:lang w:eastAsia="zh-CN"/>
        </w:rPr>
      </w:pPr>
      <w:r>
        <w:rPr>
          <w:rFonts w:eastAsia="Times New Roman" w:cs="ArialMT"/>
          <w:b w:val="false"/>
          <w:bCs w:val="false"/>
          <w:i/>
          <w:iCs/>
          <w:color w:val="000000"/>
          <w:shd w:fill="auto" w:val="clear"/>
          <w:lang w:eastAsia="zh-CN"/>
        </w:rPr>
        <w:t>Obs.: A exigência do item “a-6” é somente para as microempresas e empresas de pequeno porte: a ausência da documentação disposta não impedirá a participação da licitante, essa tão somente deixará de gozar dos benefícios previstos na Lei Complementar nº 123/2006.</w:t>
      </w:r>
    </w:p>
    <w:p>
      <w:pPr>
        <w:pStyle w:val="Corpodotexto"/>
        <w:numPr>
          <w:ilvl w:val="0"/>
          <w:numId w:val="0"/>
        </w:numPr>
        <w:spacing w:lineRule="auto" w:line="240" w:before="0" w:after="0"/>
        <w:ind w:left="1077" w:right="0" w:hanging="0"/>
        <w:jc w:val="both"/>
        <w:rPr>
          <w:rFonts w:eastAsia="Times New Roman" w:cs="ArialMT"/>
          <w:b w:val="false"/>
          <w:b w:val="false"/>
          <w:bCs w:val="false"/>
          <w:i/>
          <w:i/>
          <w:iCs/>
          <w:color w:val="auto"/>
          <w:shd w:fill="auto" w:val="clear"/>
          <w:lang w:eastAsia="zh-CN"/>
        </w:rPr>
      </w:pPr>
      <w:r>
        <w:rPr>
          <w:rFonts w:eastAsia="Times New Roman" w:cs="ArialMT"/>
          <w:b w:val="false"/>
          <w:bCs w:val="false"/>
          <w:i/>
          <w:iCs/>
          <w:color w:val="000000"/>
          <w:shd w:fill="auto" w:val="clear"/>
          <w:lang w:eastAsia="zh-CN"/>
        </w:rPr>
      </w:r>
    </w:p>
    <w:p>
      <w:pPr>
        <w:pStyle w:val="Ttulo1"/>
        <w:numPr>
          <w:ilvl w:val="0"/>
          <w:numId w:val="4"/>
        </w:numPr>
        <w:shd w:val="clear" w:fill="EEEEEE"/>
        <w:spacing w:lineRule="auto" w:line="240" w:before="31" w:after="62"/>
        <w:jc w:val="center"/>
        <w:rPr>
          <w:rFonts w:ascii="Arial" w:hAnsi="Arial"/>
          <w:color w:val="000000"/>
          <w:sz w:val="19"/>
          <w:szCs w:val="19"/>
          <w:shd w:fill="auto" w:val="clear"/>
        </w:rPr>
      </w:pPr>
      <w:r>
        <w:rPr>
          <w:color w:val="000000"/>
          <w:sz w:val="19"/>
          <w:szCs w:val="19"/>
          <w:shd w:fill="auto" w:val="clear"/>
        </w:rPr>
        <w:t>DOS CRITÉRIOS DE JULGAMENTO</w:t>
      </w:r>
    </w:p>
    <w:p>
      <w:pPr>
        <w:pStyle w:val="Normal"/>
        <w:numPr>
          <w:ilvl w:val="1"/>
          <w:numId w:val="4"/>
        </w:numPr>
        <w:overflowPunct w:val="true"/>
        <w:spacing w:lineRule="auto" w:line="240" w:before="31" w:after="62"/>
        <w:jc w:val="both"/>
        <w:textAlignment w:val="baseline"/>
        <w:rPr>
          <w:rFonts w:ascii="Arial" w:hAnsi="Arial"/>
          <w:color w:val="000000"/>
          <w:sz w:val="19"/>
          <w:szCs w:val="19"/>
        </w:rPr>
      </w:pPr>
      <w:r>
        <w:rPr>
          <w:rFonts w:cs="Verdana" w:ascii="Arial" w:hAnsi="Arial"/>
          <w:color w:val="000000"/>
          <w:sz w:val="19"/>
          <w:szCs w:val="19"/>
        </w:rPr>
        <w:t xml:space="preserve">Para julgamento será adotado o critério de </w:t>
      </w:r>
      <w:r>
        <w:rPr>
          <w:rFonts w:cs="Verdana" w:ascii="Arial" w:hAnsi="Arial"/>
          <w:b/>
          <w:color w:val="FF0000"/>
          <w:sz w:val="19"/>
          <w:szCs w:val="19"/>
        </w:rPr>
        <w:t>Menor Preço por Item</w:t>
      </w:r>
      <w:r>
        <w:rPr>
          <w:rFonts w:cs="Verdana" w:ascii="Arial" w:hAnsi="Arial"/>
          <w:color w:val="000000"/>
          <w:sz w:val="19"/>
          <w:szCs w:val="19"/>
        </w:rPr>
        <w:t>, observadas as especificações definidas nesse Edital.</w:t>
      </w:r>
    </w:p>
    <w:p>
      <w:pPr>
        <w:pStyle w:val="Normal"/>
        <w:overflowPunct w:val="true"/>
        <w:spacing w:lineRule="auto" w:line="240" w:before="31" w:after="62"/>
        <w:jc w:val="both"/>
        <w:textAlignment w:val="baseline"/>
        <w:rPr>
          <w:rFonts w:ascii="Arial" w:hAnsi="Arial"/>
          <w:color w:val="C9211E"/>
          <w:sz w:val="19"/>
          <w:szCs w:val="19"/>
        </w:rPr>
      </w:pPr>
      <w:r>
        <w:rPr>
          <w:rFonts w:ascii="Arial" w:hAnsi="Arial"/>
          <w:color w:val="C9211E"/>
          <w:sz w:val="19"/>
          <w:szCs w:val="19"/>
        </w:rPr>
      </w:r>
    </w:p>
    <w:p>
      <w:pPr>
        <w:pStyle w:val="Ttulo1"/>
        <w:numPr>
          <w:ilvl w:val="0"/>
          <w:numId w:val="4"/>
        </w:numPr>
        <w:shd w:val="clear" w:fill="EEEEEE"/>
        <w:spacing w:lineRule="auto" w:line="240" w:before="31" w:after="62"/>
        <w:jc w:val="center"/>
        <w:rPr>
          <w:rFonts w:ascii="Arial" w:hAnsi="Arial"/>
          <w:color w:val="000000"/>
          <w:sz w:val="19"/>
          <w:szCs w:val="19"/>
          <w:shd w:fill="auto" w:val="clear"/>
        </w:rPr>
      </w:pPr>
      <w:r>
        <w:rPr>
          <w:color w:val="000000"/>
          <w:sz w:val="19"/>
          <w:szCs w:val="19"/>
          <w:shd w:fill="auto" w:val="clear"/>
        </w:rPr>
        <w:t>DAS IMPUGNAÇÕES, PEDIDOS DE ESCLARECIMENTOS E RECURSOS</w:t>
      </w:r>
    </w:p>
    <w:p>
      <w:pPr>
        <w:pStyle w:val="Normal"/>
        <w:numPr>
          <w:ilvl w:val="1"/>
          <w:numId w:val="4"/>
        </w:numPr>
        <w:overflowPunct w:val="true"/>
        <w:spacing w:lineRule="auto" w:line="240" w:before="31" w:after="62"/>
        <w:jc w:val="both"/>
        <w:textAlignment w:val="baseline"/>
        <w:rPr>
          <w:rFonts w:ascii="Arial" w:hAnsi="Arial" w:cs="Verdana"/>
          <w:b/>
          <w:b/>
          <w:bCs/>
          <w:color w:val="000000"/>
          <w:sz w:val="19"/>
          <w:szCs w:val="19"/>
          <w:shd w:fill="auto" w:val="clear"/>
        </w:rPr>
      </w:pPr>
      <w:r>
        <w:rPr>
          <w:rFonts w:cs="Verdana" w:ascii="Arial" w:hAnsi="Arial"/>
          <w:b/>
          <w:bCs/>
          <w:color w:val="000000"/>
          <w:sz w:val="19"/>
          <w:szCs w:val="19"/>
          <w:shd w:fill="auto" w:val="clear"/>
        </w:rPr>
        <w:t>DAS IMPUGNAÇÕES E PEDIDOS DE ESCLARECIMENTOS</w:t>
      </w:r>
    </w:p>
    <w:p>
      <w:pPr>
        <w:pStyle w:val="Normal"/>
        <w:numPr>
          <w:ilvl w:val="2"/>
          <w:numId w:val="4"/>
        </w:numPr>
        <w:overflowPunct w:val="false"/>
        <w:spacing w:before="31" w:after="62"/>
        <w:jc w:val="both"/>
        <w:textAlignment w:val="baseline"/>
        <w:rPr/>
      </w:pPr>
      <w:r>
        <w:rPr>
          <w:rFonts w:cs="Verdana" w:ascii="Arial" w:hAnsi="Arial"/>
          <w:sz w:val="19"/>
          <w:szCs w:val="19"/>
        </w:rPr>
        <w:t xml:space="preserve">Qualquer pessoa é parte legítima para impugnar edital de licitação por irregularidade na aplicação da Lei 14.133/2021 ou para solicitar esclarecimento sobre os seus termos, devendo encaminhar o pedido até </w:t>
      </w:r>
      <w:r>
        <w:rPr>
          <w:rFonts w:cs="Verdana" w:ascii="Arial" w:hAnsi="Arial"/>
          <w:b/>
          <w:bCs/>
          <w:sz w:val="19"/>
          <w:szCs w:val="19"/>
        </w:rPr>
        <w:t>3 (três) dias úteis</w:t>
      </w:r>
      <w:r>
        <w:rPr>
          <w:rFonts w:cs="Verdana" w:ascii="Arial" w:hAnsi="Arial"/>
          <w:sz w:val="19"/>
          <w:szCs w:val="19"/>
        </w:rPr>
        <w:t xml:space="preserve"> antes da data de abertura do certame. O pedido  deverá ser protocolado no setor de protocolos do Município de Cianorte ou encaminhado através do e-mail  </w:t>
      </w:r>
      <w:hyperlink r:id="rId3">
        <w:r>
          <w:rPr>
            <w:rStyle w:val="LinkdaInternet"/>
            <w:rFonts w:cs="Verdana" w:ascii="Arial" w:hAnsi="Arial"/>
            <w:sz w:val="19"/>
            <w:szCs w:val="19"/>
          </w:rPr>
          <w:t>pregaoeletronico@cianorte.pr.gov.br</w:t>
        </w:r>
      </w:hyperlink>
      <w:r>
        <w:rPr>
          <w:rFonts w:cs="Verdana" w:ascii="Arial" w:hAnsi="Arial"/>
          <w:sz w:val="19"/>
          <w:szCs w:val="19"/>
        </w:rPr>
        <w:t>.</w:t>
      </w:r>
    </w:p>
    <w:p>
      <w:pPr>
        <w:pStyle w:val="Normal"/>
        <w:numPr>
          <w:ilvl w:val="2"/>
          <w:numId w:val="4"/>
        </w:numPr>
        <w:overflowPunct w:val="false"/>
        <w:spacing w:before="31" w:after="62"/>
        <w:jc w:val="both"/>
        <w:textAlignment w:val="baseline"/>
        <w:rPr>
          <w:rFonts w:ascii="Arial" w:hAnsi="Arial" w:cs="Verdana"/>
          <w:color w:val="000000"/>
          <w:sz w:val="19"/>
          <w:szCs w:val="19"/>
        </w:rPr>
      </w:pPr>
      <w:r>
        <w:rPr>
          <w:rFonts w:cs="Verdana" w:ascii="Arial" w:hAnsi="Arial"/>
          <w:color w:val="000000"/>
          <w:sz w:val="19"/>
          <w:szCs w:val="19"/>
        </w:rPr>
        <w:t xml:space="preserve"> </w:t>
      </w:r>
      <w:r>
        <w:rPr>
          <w:rFonts w:cs="Verdana" w:ascii="Arial" w:hAnsi="Arial"/>
          <w:color w:val="000000"/>
          <w:sz w:val="19"/>
          <w:szCs w:val="19"/>
        </w:rPr>
        <w:t>A resposta à impugnação ou ao pedido de esclarecimento será divulgada em sítio eletrônico oficial no prazo de até 3 (três) dias úteis, limitado ao último dia útil anterior à data da abertura do certame.</w:t>
      </w:r>
    </w:p>
    <w:p>
      <w:pPr>
        <w:pStyle w:val="Normal"/>
        <w:numPr>
          <w:ilvl w:val="1"/>
          <w:numId w:val="4"/>
        </w:numPr>
        <w:overflowPunct w:val="false"/>
        <w:spacing w:before="31" w:after="62"/>
        <w:jc w:val="both"/>
        <w:textAlignment w:val="baseline"/>
        <w:rPr>
          <w:rFonts w:ascii="Arial" w:hAnsi="Arial" w:cs="Verdana"/>
          <w:b/>
          <w:b/>
          <w:bCs/>
          <w:sz w:val="19"/>
          <w:szCs w:val="19"/>
        </w:rPr>
      </w:pPr>
      <w:r>
        <w:rPr>
          <w:rFonts w:cs="Verdana" w:ascii="Arial" w:hAnsi="Arial"/>
          <w:b/>
          <w:bCs/>
          <w:sz w:val="19"/>
          <w:szCs w:val="19"/>
        </w:rPr>
        <w:t>DOS RECURSOS</w:t>
      </w:r>
    </w:p>
    <w:p>
      <w:pPr>
        <w:pStyle w:val="Normal"/>
        <w:numPr>
          <w:ilvl w:val="2"/>
          <w:numId w:val="4"/>
        </w:numPr>
        <w:overflowPunct w:val="false"/>
        <w:spacing w:before="31" w:after="62"/>
        <w:jc w:val="both"/>
        <w:textAlignment w:val="baseline"/>
        <w:rPr/>
      </w:pPr>
      <w:r>
        <w:rPr>
          <w:rFonts w:cs="Verdana" w:ascii="Arial" w:hAnsi="Arial"/>
          <w:sz w:val="19"/>
          <w:szCs w:val="19"/>
        </w:rPr>
        <w:t xml:space="preserve">Findo o prazo para habilitação e após a divulgação do vencedor do pregão, na forma eletrônica, qualquer licitante poderá manifestar imediata e motivadamente a intenção de recorrer, desde que devidamente registrada a síntese de suas razões através do e-mail </w:t>
      </w:r>
      <w:hyperlink r:id="rId4">
        <w:r>
          <w:rPr>
            <w:rStyle w:val="LinkdaInternet"/>
            <w:rFonts w:cs="Verdana" w:ascii="Arial" w:hAnsi="Arial"/>
            <w:sz w:val="19"/>
            <w:szCs w:val="19"/>
          </w:rPr>
          <w:t>pregaoeletronico@cianorte.pr.gov.br</w:t>
        </w:r>
      </w:hyperlink>
      <w:r>
        <w:rPr>
          <w:rFonts w:cs="Verdana" w:ascii="Arial" w:hAnsi="Arial"/>
          <w:sz w:val="19"/>
          <w:szCs w:val="19"/>
        </w:rPr>
        <w:t>.</w:t>
      </w:r>
    </w:p>
    <w:p>
      <w:pPr>
        <w:pStyle w:val="Normal"/>
        <w:numPr>
          <w:ilvl w:val="2"/>
          <w:numId w:val="4"/>
        </w:numPr>
        <w:overflowPunct w:val="false"/>
        <w:spacing w:before="31" w:after="62"/>
        <w:jc w:val="both"/>
        <w:textAlignment w:val="baseline"/>
        <w:rPr/>
      </w:pPr>
      <w:r>
        <w:rPr>
          <w:rFonts w:cs="Verdana" w:ascii="Arial" w:hAnsi="Arial"/>
          <w:sz w:val="19"/>
          <w:szCs w:val="19"/>
        </w:rPr>
        <w:t xml:space="preserve">Caso haja licitante com intenção de interpor recurso nas condições do item anterior, ser-lhe-á concedido o </w:t>
      </w:r>
      <w:r>
        <w:rPr>
          <w:rFonts w:cs="Verdana" w:ascii="Arial" w:hAnsi="Arial"/>
          <w:color w:val="000000"/>
          <w:sz w:val="19"/>
          <w:szCs w:val="19"/>
        </w:rPr>
        <w:t xml:space="preserve">prazo de 03 (três) dias úteis para apresentar memorial de recurso, contado da data de intimação ou de lavratura da ata, facultando-se aos demais proponentes a oportunidade de apresentar contrarrazões em igual número de dias, que começarão a correr imediatamente após o término do prazo do recorrente, sendo-lhes assegurada vista imediata dos autos, sendo que os recursos e contrarrazões poderão ser encaminhados por meio eletrônico ou físico, devendo ser anexados e enviados através do e-mail </w:t>
      </w:r>
      <w:hyperlink r:id="rId5">
        <w:r>
          <w:rPr>
            <w:rStyle w:val="LinkdaInternet"/>
            <w:rFonts w:ascii="Arial" w:hAnsi="Arial"/>
            <w:sz w:val="19"/>
            <w:szCs w:val="19"/>
          </w:rPr>
          <w:t>pregaoeletronico@cianorte.pr.gov.br</w:t>
        </w:r>
      </w:hyperlink>
      <w:r>
        <w:rPr>
          <w:rFonts w:cs="Verdana" w:ascii="Arial" w:hAnsi="Arial"/>
          <w:color w:val="000000"/>
          <w:sz w:val="19"/>
          <w:szCs w:val="19"/>
        </w:rPr>
        <w:t>.</w:t>
      </w:r>
    </w:p>
    <w:p>
      <w:pPr>
        <w:pStyle w:val="Normal"/>
        <w:numPr>
          <w:ilvl w:val="3"/>
          <w:numId w:val="4"/>
        </w:numPr>
        <w:overflowPunct w:val="false"/>
        <w:spacing w:before="31" w:after="62"/>
        <w:jc w:val="both"/>
        <w:textAlignment w:val="baseline"/>
        <w:rPr>
          <w:rFonts w:ascii="Arial" w:hAnsi="Arial"/>
          <w:sz w:val="20"/>
          <w:szCs w:val="19"/>
        </w:rPr>
      </w:pPr>
      <w:r>
        <w:rPr>
          <w:rFonts w:ascii="Arial" w:hAnsi="Arial"/>
          <w:sz w:val="20"/>
          <w:szCs w:val="19"/>
        </w:rPr>
        <w:t>O prazo para apresentação de contrarrazões será o mesmo do recurso e terá início na data de intimação pessoal ou de divulgação da interposição do recurso.</w:t>
      </w:r>
    </w:p>
    <w:p>
      <w:pPr>
        <w:pStyle w:val="Normal"/>
        <w:numPr>
          <w:ilvl w:val="1"/>
          <w:numId w:val="4"/>
        </w:numPr>
        <w:overflowPunct w:val="true"/>
        <w:spacing w:lineRule="auto" w:line="240" w:before="31" w:after="62"/>
        <w:jc w:val="both"/>
        <w:textAlignment w:val="baseline"/>
        <w:rPr>
          <w:rFonts w:ascii="Arial" w:hAnsi="Arial" w:cs="Verdana"/>
          <w:b/>
          <w:b/>
          <w:bCs/>
          <w:color w:val="000000"/>
          <w:sz w:val="19"/>
          <w:szCs w:val="19"/>
          <w:shd w:fill="auto" w:val="clear"/>
        </w:rPr>
      </w:pPr>
      <w:r>
        <w:rPr>
          <w:rFonts w:cs="Verdana" w:ascii="Arial" w:hAnsi="Arial"/>
          <w:b w:val="false"/>
          <w:bCs w:val="false"/>
          <w:color w:val="000000"/>
          <w:sz w:val="19"/>
          <w:szCs w:val="19"/>
          <w:shd w:fill="auto" w:val="clear"/>
        </w:rPr>
        <w:t>O acolhimento de recurso importará na invalidação apenas dos atos insuscetíveis de aproveitamento.</w:t>
      </w:r>
    </w:p>
    <w:p>
      <w:pPr>
        <w:pStyle w:val="Normal"/>
        <w:numPr>
          <w:ilvl w:val="0"/>
          <w:numId w:val="0"/>
        </w:numPr>
        <w:overflowPunct w:val="true"/>
        <w:spacing w:lineRule="auto" w:line="240" w:before="31" w:after="62"/>
        <w:ind w:left="113" w:hanging="0"/>
        <w:jc w:val="both"/>
        <w:textAlignment w:val="baseline"/>
        <w:rPr>
          <w:rFonts w:ascii="Arial" w:hAnsi="Arial" w:cs="Verdana"/>
          <w:color w:val="C9211E"/>
          <w:sz w:val="19"/>
          <w:szCs w:val="19"/>
        </w:rPr>
      </w:pPr>
      <w:r>
        <w:rPr>
          <w:rFonts w:cs="Verdana" w:ascii="Arial" w:hAnsi="Arial"/>
          <w:color w:val="C9211E"/>
          <w:sz w:val="19"/>
          <w:szCs w:val="19"/>
        </w:rPr>
      </w:r>
    </w:p>
    <w:p>
      <w:pPr>
        <w:pStyle w:val="Ttulo1"/>
        <w:numPr>
          <w:ilvl w:val="0"/>
          <w:numId w:val="4"/>
        </w:numPr>
        <w:shd w:val="clear" w:fill="EEEEEE"/>
        <w:spacing w:lineRule="auto" w:line="240" w:before="31" w:after="62"/>
        <w:jc w:val="center"/>
        <w:rPr>
          <w:rFonts w:ascii="Arial" w:hAnsi="Arial"/>
          <w:color w:val="000000"/>
          <w:sz w:val="19"/>
          <w:szCs w:val="19"/>
          <w:shd w:fill="auto" w:val="clear"/>
        </w:rPr>
      </w:pPr>
      <w:r>
        <w:rPr>
          <w:color w:val="000000"/>
          <w:sz w:val="19"/>
          <w:szCs w:val="19"/>
          <w:shd w:fill="auto" w:val="clear"/>
        </w:rPr>
        <w:t>DA ANÁLISE DA PROPOSTA E DA DOCUMENTAÇÃO DE HABILITAÇÃO</w:t>
      </w:r>
    </w:p>
    <w:p>
      <w:pPr>
        <w:pStyle w:val="Normal"/>
        <w:numPr>
          <w:ilvl w:val="1"/>
          <w:numId w:val="4"/>
        </w:numPr>
        <w:overflowPunct w:val="true"/>
        <w:spacing w:lineRule="auto" w:line="240" w:before="31" w:after="62"/>
        <w:jc w:val="both"/>
        <w:textAlignment w:val="baseline"/>
        <w:rPr>
          <w:rFonts w:ascii="Arial" w:hAnsi="Arial"/>
          <w:b/>
          <w:b/>
          <w:bCs/>
          <w:color w:val="000000"/>
          <w:sz w:val="19"/>
          <w:szCs w:val="19"/>
          <w:shd w:fill="auto" w:val="clear"/>
        </w:rPr>
      </w:pPr>
      <w:r>
        <w:rPr>
          <w:rFonts w:ascii="Arial" w:hAnsi="Arial"/>
          <w:b/>
          <w:bCs/>
          <w:color w:val="000000"/>
          <w:sz w:val="19"/>
          <w:szCs w:val="19"/>
          <w:shd w:fill="auto" w:val="clear"/>
        </w:rPr>
        <w:t>DA PROPOSTA:</w:t>
      </w:r>
    </w:p>
    <w:p>
      <w:pPr>
        <w:pStyle w:val="Normal"/>
        <w:numPr>
          <w:ilvl w:val="2"/>
          <w:numId w:val="4"/>
        </w:numPr>
        <w:overflowPunct w:val="true"/>
        <w:spacing w:lineRule="auto" w:line="240" w:before="31" w:after="62"/>
        <w:jc w:val="both"/>
        <w:textAlignment w:val="baseline"/>
        <w:rPr>
          <w:rFonts w:ascii="Arial" w:hAnsi="Arial"/>
          <w:color w:val="000000"/>
          <w:sz w:val="19"/>
          <w:szCs w:val="19"/>
        </w:rPr>
      </w:pPr>
      <w:r>
        <w:rPr>
          <w:rFonts w:ascii="Arial" w:hAnsi="Arial"/>
          <w:color w:val="000000"/>
          <w:sz w:val="19"/>
          <w:szCs w:val="19"/>
        </w:rPr>
        <w:t>Serão desclassificadas as propostas que:</w:t>
      </w:r>
    </w:p>
    <w:p>
      <w:pPr>
        <w:pStyle w:val="Normal"/>
        <w:numPr>
          <w:ilvl w:val="4"/>
          <w:numId w:val="4"/>
        </w:numPr>
        <w:overflowPunct w:val="true"/>
        <w:spacing w:lineRule="auto" w:line="240" w:before="31" w:after="62"/>
        <w:jc w:val="both"/>
        <w:textAlignment w:val="baseline"/>
        <w:rPr>
          <w:rFonts w:ascii="Arial" w:hAnsi="Arial"/>
          <w:color w:val="000000"/>
          <w:sz w:val="19"/>
          <w:szCs w:val="19"/>
        </w:rPr>
      </w:pPr>
      <w:r>
        <w:rPr>
          <w:rFonts w:ascii="Arial" w:hAnsi="Arial"/>
          <w:color w:val="000000"/>
          <w:sz w:val="19"/>
          <w:szCs w:val="19"/>
        </w:rPr>
        <w:t>Contiverem vícios insanáveis;</w:t>
      </w:r>
    </w:p>
    <w:p>
      <w:pPr>
        <w:pStyle w:val="Normal"/>
        <w:numPr>
          <w:ilvl w:val="4"/>
          <w:numId w:val="4"/>
        </w:numPr>
        <w:overflowPunct w:val="true"/>
        <w:spacing w:lineRule="auto" w:line="240" w:before="31" w:after="62"/>
        <w:jc w:val="both"/>
        <w:textAlignment w:val="baseline"/>
        <w:rPr>
          <w:rFonts w:ascii="Arial" w:hAnsi="Arial"/>
          <w:color w:val="000000"/>
          <w:sz w:val="19"/>
          <w:szCs w:val="19"/>
        </w:rPr>
      </w:pPr>
      <w:r>
        <w:rPr>
          <w:rFonts w:ascii="Arial" w:hAnsi="Arial"/>
          <w:color w:val="000000"/>
          <w:sz w:val="19"/>
          <w:szCs w:val="19"/>
        </w:rPr>
        <w:t>Não obedecerem às especificações técnicas pormenorizadas no edital;</w:t>
      </w:r>
    </w:p>
    <w:p>
      <w:pPr>
        <w:pStyle w:val="Normal"/>
        <w:numPr>
          <w:ilvl w:val="4"/>
          <w:numId w:val="4"/>
        </w:numPr>
        <w:overflowPunct w:val="true"/>
        <w:spacing w:lineRule="auto" w:line="240" w:before="31" w:after="62"/>
        <w:jc w:val="both"/>
        <w:textAlignment w:val="baseline"/>
        <w:rPr>
          <w:rFonts w:ascii="Arial" w:hAnsi="Arial"/>
          <w:color w:val="000000"/>
          <w:sz w:val="19"/>
          <w:szCs w:val="19"/>
        </w:rPr>
      </w:pPr>
      <w:r>
        <w:rPr>
          <w:rFonts w:ascii="Arial" w:hAnsi="Arial"/>
          <w:color w:val="000000"/>
          <w:sz w:val="19"/>
          <w:szCs w:val="19"/>
        </w:rPr>
        <w:t>Apresentarem preços inexequíveis ou permanecerem acima do orçamento estimado para a contratação;</w:t>
      </w:r>
    </w:p>
    <w:p>
      <w:pPr>
        <w:pStyle w:val="Normal"/>
        <w:numPr>
          <w:ilvl w:val="4"/>
          <w:numId w:val="4"/>
        </w:numPr>
        <w:overflowPunct w:val="true"/>
        <w:spacing w:lineRule="auto" w:line="240" w:before="31" w:after="62"/>
        <w:jc w:val="both"/>
        <w:textAlignment w:val="baseline"/>
        <w:rPr>
          <w:rFonts w:ascii="Arial" w:hAnsi="Arial"/>
          <w:color w:val="000000"/>
          <w:sz w:val="19"/>
          <w:szCs w:val="19"/>
        </w:rPr>
      </w:pPr>
      <w:r>
        <w:rPr>
          <w:rFonts w:ascii="Arial" w:hAnsi="Arial"/>
          <w:color w:val="000000"/>
          <w:sz w:val="19"/>
          <w:szCs w:val="19"/>
        </w:rPr>
        <w:t>Não tiverem sua exequibilidade demonstrada, quando exigido pela Administração;</w:t>
      </w:r>
    </w:p>
    <w:p>
      <w:pPr>
        <w:pStyle w:val="Normal"/>
        <w:numPr>
          <w:ilvl w:val="4"/>
          <w:numId w:val="4"/>
        </w:numPr>
        <w:overflowPunct w:val="true"/>
        <w:spacing w:lineRule="auto" w:line="240" w:before="31" w:after="62"/>
        <w:jc w:val="both"/>
        <w:textAlignment w:val="baseline"/>
        <w:rPr>
          <w:rFonts w:ascii="Arial" w:hAnsi="Arial"/>
          <w:color w:val="000000"/>
          <w:sz w:val="19"/>
          <w:szCs w:val="19"/>
        </w:rPr>
      </w:pPr>
      <w:r>
        <w:rPr>
          <w:rFonts w:ascii="Arial" w:hAnsi="Arial"/>
          <w:color w:val="000000"/>
          <w:sz w:val="19"/>
          <w:szCs w:val="19"/>
        </w:rPr>
        <w:t>Apresentarem desconformidade com quaisquer outras exigências do edital, desde que insanável.</w:t>
      </w:r>
    </w:p>
    <w:p>
      <w:pPr>
        <w:pStyle w:val="Normal"/>
        <w:numPr>
          <w:ilvl w:val="2"/>
          <w:numId w:val="4"/>
        </w:numPr>
        <w:overflowPunct w:val="true"/>
        <w:spacing w:lineRule="auto" w:line="240" w:before="62" w:after="62"/>
        <w:jc w:val="both"/>
        <w:textAlignment w:val="baseline"/>
        <w:rPr>
          <w:rFonts w:ascii="Arial" w:hAnsi="Arial"/>
          <w:color w:val="000000"/>
          <w:sz w:val="19"/>
          <w:szCs w:val="19"/>
        </w:rPr>
      </w:pPr>
      <w:r>
        <w:rPr>
          <w:rFonts w:cs="Verdana" w:ascii="Arial" w:hAnsi="Arial"/>
          <w:b w:val="false"/>
          <w:i w:val="false"/>
          <w:caps w:val="false"/>
          <w:smallCaps w:val="false"/>
          <w:color w:val="000000"/>
          <w:spacing w:val="0"/>
          <w:sz w:val="19"/>
          <w:szCs w:val="19"/>
        </w:rPr>
        <w:t>Se a proposta ou o lance de menor valor não for aceitável, ou se o licitante desatender às exigências da habilitação, o pregoeiro examinará a proposta ou o lance subsequente, verificando a sua compatibilidade e a habilitação do participante, na ordem de classificação, e assim sucessivamente, até a apuração de uma proposta ou lance que atenda o Edital. Também nessa etapa o pregoeiro poderá negociar com o participante para que seja obtido preço melhor.</w:t>
      </w:r>
    </w:p>
    <w:p>
      <w:pPr>
        <w:pStyle w:val="Corpodotexto"/>
        <w:numPr>
          <w:ilvl w:val="2"/>
          <w:numId w:val="4"/>
        </w:numPr>
        <w:spacing w:lineRule="auto" w:line="240" w:before="31" w:after="62"/>
        <w:jc w:val="both"/>
        <w:rPr/>
      </w:pPr>
      <w:r>
        <w:rPr>
          <w:b w:val="false"/>
          <w:i w:val="false"/>
          <w:caps w:val="false"/>
          <w:smallCaps w:val="false"/>
          <w:spacing w:val="0"/>
          <w:sz w:val="19"/>
          <w:szCs w:val="19"/>
        </w:rPr>
        <w:t xml:space="preserve">A Administração poderá realizar diligências para aferir a exequibilidade das propostas ou exigir dos licitantes que ela seja demonstrada, conforme disposto no art. 59 </w:t>
      </w:r>
      <w:r>
        <w:rPr>
          <w:b w:val="false"/>
          <w:i w:val="false"/>
          <w:caps w:val="false"/>
          <w:smallCaps w:val="false"/>
          <w:spacing w:val="0"/>
          <w:sz w:val="19"/>
          <w:szCs w:val="19"/>
          <w:shd w:fill="auto" w:val="clear"/>
        </w:rPr>
        <w:t>da Lei n.º 14.133/2021,</w:t>
      </w:r>
      <w:r>
        <w:rPr>
          <w:b w:val="false"/>
          <w:i w:val="false"/>
          <w:caps w:val="false"/>
          <w:smallCaps w:val="false"/>
          <w:spacing w:val="0"/>
          <w:sz w:val="19"/>
          <w:szCs w:val="19"/>
        </w:rPr>
        <w:t xml:space="preserve"> </w:t>
      </w:r>
      <w:r>
        <w:rPr/>
        <w:t>podendo-se adotar, dentre outros, quaisquer dos seguintes procedimentos:</w:t>
      </w:r>
    </w:p>
    <w:p>
      <w:pPr>
        <w:pStyle w:val="Corpodotexto"/>
        <w:numPr>
          <w:ilvl w:val="3"/>
          <w:numId w:val="4"/>
        </w:numPr>
        <w:spacing w:lineRule="auto" w:line="240" w:before="31" w:after="62"/>
        <w:jc w:val="both"/>
        <w:rPr>
          <w:color w:val="000000"/>
        </w:rPr>
      </w:pPr>
      <w:r>
        <w:rPr>
          <w:color w:val="000000"/>
        </w:rPr>
        <w:t xml:space="preserve">Questionamentos junto ao proponente para a apresentação de justificativas e comprovações em relação aos custos com indícios de inexequibilidade; </w:t>
      </w:r>
    </w:p>
    <w:p>
      <w:pPr>
        <w:pStyle w:val="Corpodotexto"/>
        <w:numPr>
          <w:ilvl w:val="3"/>
          <w:numId w:val="4"/>
        </w:numPr>
        <w:spacing w:lineRule="auto" w:line="240" w:before="31" w:after="62"/>
        <w:jc w:val="both"/>
        <w:rPr>
          <w:color w:val="000000"/>
        </w:rPr>
      </w:pPr>
      <w:r>
        <w:rPr>
          <w:color w:val="000000"/>
        </w:rPr>
        <w:t>Pesquisas em órgãos públicos ou empresas privadas;</w:t>
      </w:r>
    </w:p>
    <w:p>
      <w:pPr>
        <w:pStyle w:val="Corpodotexto"/>
        <w:numPr>
          <w:ilvl w:val="3"/>
          <w:numId w:val="4"/>
        </w:numPr>
        <w:spacing w:lineRule="auto" w:line="240" w:before="31" w:after="62"/>
        <w:jc w:val="both"/>
        <w:rPr>
          <w:color w:val="000000"/>
        </w:rPr>
      </w:pPr>
      <w:r>
        <w:rPr>
          <w:color w:val="000000"/>
        </w:rPr>
        <w:t>Verificação de outros contratos que o proponente mantenha com a Administração ou com a iniciativa privada;</w:t>
      </w:r>
    </w:p>
    <w:p>
      <w:pPr>
        <w:pStyle w:val="Corpodotexto"/>
        <w:numPr>
          <w:ilvl w:val="3"/>
          <w:numId w:val="4"/>
        </w:numPr>
        <w:spacing w:lineRule="auto" w:line="240" w:before="31" w:after="62"/>
        <w:jc w:val="both"/>
        <w:rPr>
          <w:color w:val="000000"/>
        </w:rPr>
      </w:pPr>
      <w:r>
        <w:rPr>
          <w:color w:val="000000"/>
        </w:rPr>
        <w:t>Verificação de notas fiscais dos produtos adquiridos pelo proponente;</w:t>
      </w:r>
    </w:p>
    <w:p>
      <w:pPr>
        <w:pStyle w:val="Corpodotexto"/>
        <w:numPr>
          <w:ilvl w:val="3"/>
          <w:numId w:val="4"/>
        </w:numPr>
        <w:spacing w:lineRule="auto" w:line="240" w:before="31" w:after="62"/>
        <w:jc w:val="both"/>
        <w:rPr>
          <w:color w:val="000000"/>
        </w:rPr>
      </w:pPr>
      <w:r>
        <w:rPr>
          <w:color w:val="000000"/>
        </w:rPr>
        <w:t>Consultas às Secretarias de Fazenda Federal, Distrital, Estadual ou Municipal;</w:t>
      </w:r>
    </w:p>
    <w:p>
      <w:pPr>
        <w:pStyle w:val="Corpodotexto"/>
        <w:numPr>
          <w:ilvl w:val="3"/>
          <w:numId w:val="4"/>
        </w:numPr>
        <w:spacing w:lineRule="auto" w:line="240" w:before="31" w:after="62"/>
        <w:jc w:val="both"/>
        <w:rPr>
          <w:color w:val="000000"/>
        </w:rPr>
      </w:pPr>
      <w:r>
        <w:rPr>
          <w:color w:val="000000"/>
        </w:rPr>
        <w:t>Verificação de acordos coletivos, convenções coletivas ou sentenças normativas em dissídios coletivos de trabalho;</w:t>
      </w:r>
    </w:p>
    <w:p>
      <w:pPr>
        <w:pStyle w:val="Corpodotexto"/>
        <w:numPr>
          <w:ilvl w:val="3"/>
          <w:numId w:val="4"/>
        </w:numPr>
        <w:spacing w:lineRule="auto" w:line="240" w:before="31" w:after="62"/>
        <w:jc w:val="both"/>
        <w:rPr>
          <w:color w:val="000000"/>
        </w:rPr>
      </w:pPr>
      <w:r>
        <w:rPr>
          <w:color w:val="000000"/>
        </w:rPr>
        <w:t xml:space="preserve">Levantamento de informações junto ao Ministério do Trabalho e Emprego, e junto ao Ministério da Previdência Social; </w:t>
      </w:r>
    </w:p>
    <w:p>
      <w:pPr>
        <w:pStyle w:val="Corpodotexto"/>
        <w:numPr>
          <w:ilvl w:val="3"/>
          <w:numId w:val="4"/>
        </w:numPr>
        <w:spacing w:lineRule="auto" w:line="240" w:before="31" w:after="62"/>
        <w:jc w:val="both"/>
        <w:rPr>
          <w:color w:val="000000"/>
        </w:rPr>
      </w:pPr>
      <w:r>
        <w:rPr>
          <w:color w:val="000000"/>
        </w:rPr>
        <w:t>Consultas a entidades ou conselhos de classe, sindicatos ou similares;</w:t>
      </w:r>
    </w:p>
    <w:p>
      <w:pPr>
        <w:pStyle w:val="Corpodotexto"/>
        <w:numPr>
          <w:ilvl w:val="3"/>
          <w:numId w:val="4"/>
        </w:numPr>
        <w:spacing w:lineRule="auto" w:line="240" w:before="31" w:after="62"/>
        <w:jc w:val="both"/>
        <w:rPr>
          <w:color w:val="000000"/>
        </w:rPr>
      </w:pPr>
      <w:r>
        <w:rPr>
          <w:color w:val="000000"/>
        </w:rPr>
        <w:t>Pesquisa de preço com fornecedores dos insumos utilizados, tais como: atacadistas, lojas de suprimentos, supermercados e fabricantes;</w:t>
      </w:r>
    </w:p>
    <w:p>
      <w:pPr>
        <w:pStyle w:val="Corpodotexto"/>
        <w:numPr>
          <w:ilvl w:val="3"/>
          <w:numId w:val="4"/>
        </w:numPr>
        <w:spacing w:lineRule="auto" w:line="240" w:before="31" w:after="62"/>
        <w:jc w:val="both"/>
        <w:rPr>
          <w:color w:val="000000"/>
        </w:rPr>
      </w:pPr>
      <w:r>
        <w:rPr>
          <w:color w:val="000000"/>
        </w:rPr>
        <w:t>Levantamento de indicadores salariais ou trabalhistas publicados por órgãos de pesquisa;</w:t>
      </w:r>
    </w:p>
    <w:p>
      <w:pPr>
        <w:pStyle w:val="Corpodotexto"/>
        <w:numPr>
          <w:ilvl w:val="3"/>
          <w:numId w:val="4"/>
        </w:numPr>
        <w:spacing w:lineRule="auto" w:line="240" w:before="31" w:after="62"/>
        <w:jc w:val="both"/>
        <w:rPr>
          <w:color w:val="000000"/>
        </w:rPr>
      </w:pPr>
      <w:r>
        <w:rPr>
          <w:color w:val="000000"/>
        </w:rPr>
        <w:t>Estudos setoriais;</w:t>
      </w:r>
    </w:p>
    <w:p>
      <w:pPr>
        <w:pStyle w:val="Corpodotexto"/>
        <w:numPr>
          <w:ilvl w:val="3"/>
          <w:numId w:val="4"/>
        </w:numPr>
        <w:spacing w:lineRule="auto" w:line="240" w:before="31" w:after="62"/>
        <w:jc w:val="both"/>
        <w:rPr>
          <w:color w:val="000000"/>
        </w:rPr>
      </w:pPr>
      <w:r>
        <w:rPr>
          <w:color w:val="000000"/>
        </w:rPr>
        <w:t>Análise de soluções técnicas escolhidas e/ou condições excepcionalmente favoráveis que o proponente disponha para a prestação dos equipamentos.</w:t>
      </w:r>
    </w:p>
    <w:p>
      <w:pPr>
        <w:pStyle w:val="Corpodotexto"/>
        <w:numPr>
          <w:ilvl w:val="3"/>
          <w:numId w:val="4"/>
        </w:numPr>
        <w:spacing w:lineRule="auto" w:line="240" w:before="31" w:after="62"/>
        <w:jc w:val="both"/>
        <w:rPr>
          <w:color w:val="000000"/>
        </w:rPr>
      </w:pPr>
      <w:r>
        <w:rPr>
          <w:color w:val="000000"/>
        </w:rPr>
        <w:t>Demais verificações que porventura se fizerem necessárias.</w:t>
      </w:r>
    </w:p>
    <w:p>
      <w:pPr>
        <w:pStyle w:val="Normal"/>
        <w:numPr>
          <w:ilvl w:val="1"/>
          <w:numId w:val="4"/>
        </w:numPr>
        <w:overflowPunct w:val="true"/>
        <w:spacing w:lineRule="auto" w:line="240" w:before="31" w:after="62"/>
        <w:jc w:val="both"/>
        <w:textAlignment w:val="baseline"/>
        <w:rPr>
          <w:rFonts w:ascii="Arial" w:hAnsi="Arial"/>
          <w:b/>
          <w:b/>
          <w:bCs/>
          <w:color w:val="000000"/>
          <w:sz w:val="19"/>
          <w:szCs w:val="19"/>
        </w:rPr>
      </w:pPr>
      <w:r>
        <w:rPr>
          <w:rFonts w:ascii="Arial" w:hAnsi="Arial"/>
          <w:b/>
          <w:bCs/>
          <w:color w:val="000000"/>
          <w:sz w:val="19"/>
          <w:szCs w:val="19"/>
        </w:rPr>
        <w:t>DA HABILITAÇÃO:</w:t>
      </w:r>
    </w:p>
    <w:p>
      <w:pPr>
        <w:pStyle w:val="Normal"/>
        <w:numPr>
          <w:ilvl w:val="2"/>
          <w:numId w:val="4"/>
        </w:numPr>
        <w:overflowPunct w:val="tru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 xml:space="preserve">Na fase de habilitação das licitações serão observadas o atendimento aos requisitos de habilitação previstos no item </w:t>
      </w:r>
      <w:r>
        <w:rPr>
          <w:rFonts w:ascii="Arial" w:hAnsi="Arial"/>
          <w:color w:val="FF0000"/>
          <w:sz w:val="19"/>
          <w:szCs w:val="19"/>
          <w:shd w:fill="auto" w:val="clear"/>
        </w:rPr>
        <w:t>9</w:t>
      </w:r>
      <w:r>
        <w:rPr>
          <w:rFonts w:ascii="Arial" w:hAnsi="Arial"/>
          <w:color w:val="000000"/>
          <w:sz w:val="19"/>
          <w:szCs w:val="19"/>
          <w:shd w:fill="auto" w:val="clear"/>
        </w:rPr>
        <w:t xml:space="preserve"> deste edital, sendo que a ausência de qualquer documento implicará a inabilitação do licitante.</w:t>
      </w:r>
    </w:p>
    <w:p>
      <w:pPr>
        <w:pStyle w:val="Corpodotexto"/>
        <w:numPr>
          <w:ilvl w:val="2"/>
          <w:numId w:val="4"/>
        </w:numPr>
        <w:spacing w:lineRule="auto" w:line="240" w:before="31" w:after="62"/>
        <w:jc w:val="both"/>
        <w:rPr>
          <w:rFonts w:ascii="Arial" w:hAnsi="Arial"/>
          <w:color w:val="000000"/>
          <w:sz w:val="19"/>
          <w:szCs w:val="19"/>
        </w:rPr>
      </w:pPr>
      <w:r>
        <w:rPr>
          <w:color w:val="000000"/>
          <w:sz w:val="19"/>
          <w:szCs w:val="19"/>
        </w:rPr>
        <w:t>As empresas convocadas que não apresentarem a documentação estarão sujeitas às penalidades previstas neste Edital.</w:t>
      </w:r>
    </w:p>
    <w:p>
      <w:pPr>
        <w:pStyle w:val="Corpodotexto"/>
        <w:numPr>
          <w:ilvl w:val="2"/>
          <w:numId w:val="4"/>
        </w:numPr>
        <w:spacing w:lineRule="auto" w:line="240" w:before="31" w:after="62"/>
        <w:jc w:val="both"/>
        <w:rPr>
          <w:rFonts w:ascii="Arial" w:hAnsi="Arial"/>
          <w:color w:val="000000"/>
          <w:sz w:val="19"/>
          <w:szCs w:val="19"/>
        </w:rPr>
      </w:pPr>
      <w:r>
        <w:rPr>
          <w:color w:val="000000"/>
          <w:sz w:val="19"/>
          <w:szCs w:val="19"/>
        </w:rPr>
        <w:t xml:space="preserve">As </w:t>
      </w:r>
      <w:r>
        <w:rPr>
          <w:b/>
          <w:bCs/>
          <w:color w:val="000000"/>
          <w:sz w:val="19"/>
          <w:szCs w:val="19"/>
        </w:rPr>
        <w:t>microempresas, empresas de pequeno porte ou microempreendedor individual</w:t>
      </w:r>
      <w:r>
        <w:rPr>
          <w:color w:val="000000"/>
          <w:sz w:val="19"/>
          <w:szCs w:val="19"/>
        </w:rPr>
        <w:t xml:space="preserve"> poderão sanear defeitos constatados na </w:t>
      </w:r>
      <w:r>
        <w:rPr>
          <w:b/>
          <w:bCs/>
          <w:color w:val="000000"/>
          <w:sz w:val="19"/>
          <w:szCs w:val="19"/>
        </w:rPr>
        <w:t>habilitação fiscal, social ou trabalhista</w:t>
      </w:r>
      <w:r>
        <w:rPr>
          <w:color w:val="000000"/>
          <w:sz w:val="19"/>
          <w:szCs w:val="19"/>
        </w:rPr>
        <w:t xml:space="preserve"> apenas se apresentarem na sessão todos os documentos previstos neste capítulo, mesmo que contenham algum vício. A ausência de qualquer documento implicará a inabilitação do licitante.</w:t>
      </w:r>
    </w:p>
    <w:p>
      <w:pPr>
        <w:pStyle w:val="Corpodotexto"/>
        <w:numPr>
          <w:ilvl w:val="3"/>
          <w:numId w:val="4"/>
        </w:numPr>
        <w:spacing w:lineRule="auto" w:line="240" w:before="31" w:after="62"/>
        <w:jc w:val="both"/>
        <w:rPr>
          <w:rFonts w:ascii="Arial" w:hAnsi="Arial"/>
          <w:color w:val="000000"/>
          <w:sz w:val="19"/>
          <w:szCs w:val="19"/>
        </w:rPr>
      </w:pPr>
      <w:r>
        <w:rPr>
          <w:color w:val="000000"/>
          <w:sz w:val="19"/>
          <w:szCs w:val="19"/>
        </w:rPr>
        <w:t xml:space="preserve">Constatado algum vício na documentação fiscal, social ou trabalhista apresentada por </w:t>
      </w:r>
      <w:r>
        <w:rPr>
          <w:b/>
          <w:bCs/>
          <w:color w:val="000000"/>
          <w:sz w:val="19"/>
          <w:szCs w:val="19"/>
        </w:rPr>
        <w:t>microempresa, empresa de pequeno porte ou microempreendedor individual</w:t>
      </w:r>
      <w:r>
        <w:rPr>
          <w:color w:val="000000"/>
          <w:sz w:val="19"/>
          <w:szCs w:val="19"/>
        </w:rPr>
        <w:t>, será concedido para a licitante sanear os defeitos na documentação no prazo de 05 (cinco) dias úteis, ficando imediatamente agendada a continuação da sessão neste mesmo prazo. O prazo poderá ser prorrogado por igual período.</w:t>
      </w:r>
    </w:p>
    <w:p>
      <w:pPr>
        <w:pStyle w:val="Corpodotexto"/>
        <w:numPr>
          <w:ilvl w:val="3"/>
          <w:numId w:val="4"/>
        </w:numPr>
        <w:spacing w:lineRule="auto" w:line="240" w:before="31" w:after="62"/>
        <w:jc w:val="both"/>
        <w:rPr>
          <w:rFonts w:ascii="Arial" w:hAnsi="Arial"/>
          <w:color w:val="000000"/>
          <w:sz w:val="19"/>
          <w:szCs w:val="19"/>
        </w:rPr>
      </w:pPr>
      <w:r>
        <w:rPr>
          <w:color w:val="000000"/>
          <w:sz w:val="19"/>
          <w:szCs w:val="19"/>
        </w:rPr>
        <w:t>Permanecendo vicio na documentação, a Comissão declarará a empresa inabilitada e procederá a abertura dos envelopes de documentação das demais empresas obedecendo à ordem de classificação.</w:t>
      </w:r>
    </w:p>
    <w:p>
      <w:pPr>
        <w:pStyle w:val="Corpodotexto"/>
        <w:numPr>
          <w:ilvl w:val="2"/>
          <w:numId w:val="4"/>
        </w:numPr>
        <w:spacing w:lineRule="auto" w:line="240" w:before="31" w:after="62"/>
        <w:jc w:val="both"/>
        <w:rPr>
          <w:rFonts w:ascii="Arial" w:hAnsi="Arial"/>
          <w:color w:val="000000"/>
          <w:sz w:val="19"/>
          <w:szCs w:val="19"/>
        </w:rPr>
      </w:pPr>
      <w:r>
        <w:rPr>
          <w:color w:val="000000"/>
          <w:sz w:val="19"/>
          <w:szCs w:val="19"/>
        </w:rPr>
        <w:t>Quando a empresa for representada por diretor, sócio ou gerente, a capacidade de representação será verificada em face do próprio contrato ou estatuto social.</w:t>
      </w:r>
    </w:p>
    <w:p>
      <w:pPr>
        <w:pStyle w:val="Corpodotexto"/>
        <w:numPr>
          <w:ilvl w:val="2"/>
          <w:numId w:val="4"/>
        </w:numPr>
        <w:spacing w:lineRule="auto" w:line="240" w:before="31" w:after="62"/>
        <w:jc w:val="both"/>
        <w:rPr>
          <w:rFonts w:ascii="Arial" w:hAnsi="Arial"/>
          <w:color w:val="000000"/>
          <w:sz w:val="19"/>
          <w:szCs w:val="19"/>
        </w:rPr>
      </w:pPr>
      <w:r>
        <w:rPr>
          <w:color w:val="000000"/>
          <w:sz w:val="19"/>
          <w:szCs w:val="19"/>
        </w:rPr>
        <w:t>Eventuais falhas, omissões ou outras irregularidades formais nos documentos de habilitação, poderão ser saneadas na sessão pública de processamento do Pregão, até a decisão sobre a habilitação, inclusive mediante verificação efetuada por meio eletrônico hábil de informações.</w:t>
      </w:r>
    </w:p>
    <w:p>
      <w:pPr>
        <w:pStyle w:val="Corpodotexto"/>
        <w:numPr>
          <w:ilvl w:val="2"/>
          <w:numId w:val="4"/>
        </w:numPr>
        <w:spacing w:lineRule="auto" w:line="240" w:before="31" w:after="62"/>
        <w:jc w:val="both"/>
        <w:rPr>
          <w:rFonts w:ascii="Arial" w:hAnsi="Arial"/>
          <w:color w:val="000000"/>
          <w:sz w:val="19"/>
          <w:szCs w:val="19"/>
        </w:rPr>
      </w:pPr>
      <w:r>
        <w:rPr>
          <w:color w:val="000000"/>
          <w:sz w:val="19"/>
          <w:szCs w:val="19"/>
        </w:rPr>
        <w:t xml:space="preserve">A verificação será certificada pelo Pregoeiro e </w:t>
      </w:r>
      <w:r>
        <w:rPr>
          <w:b w:val="false"/>
          <w:i w:val="false"/>
          <w:caps w:val="false"/>
          <w:smallCaps w:val="false"/>
          <w:color w:val="000000"/>
          <w:spacing w:val="0"/>
          <w:sz w:val="19"/>
          <w:szCs w:val="19"/>
        </w:rPr>
        <w:t>serão observadas as seguintes disposições:</w:t>
      </w:r>
    </w:p>
    <w:p>
      <w:pPr>
        <w:pStyle w:val="Normal"/>
        <w:numPr>
          <w:ilvl w:val="4"/>
          <w:numId w:val="4"/>
        </w:numPr>
        <w:overflowPunct w:val="tru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Apresentação da declaração de que atendem aos requisitos de habilitação, e o declarante responderá pela veracidade das informações prestadas, na forma da lei;</w:t>
      </w:r>
    </w:p>
    <w:p>
      <w:pPr>
        <w:pStyle w:val="Normal"/>
        <w:numPr>
          <w:ilvl w:val="4"/>
          <w:numId w:val="4"/>
        </w:numPr>
        <w:overflowPunct w:val="tru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Apresentação dos documentos de habilitação apenas pelo licitante vencedor, exceto quando a fase de habilitação anteceder a de julgamento;</w:t>
      </w:r>
    </w:p>
    <w:p>
      <w:pPr>
        <w:pStyle w:val="Normal"/>
        <w:numPr>
          <w:ilvl w:val="4"/>
          <w:numId w:val="4"/>
        </w:numPr>
        <w:overflowPunct w:val="tru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Serão exigidos os documentos relativos à regularidade fiscal, em qualquer caso, somente em momento posterior ao julgamento das propostas, e apenas do licitante mais bem classificado;</w:t>
      </w:r>
    </w:p>
    <w:p>
      <w:pPr>
        <w:pStyle w:val="Normal"/>
        <w:numPr>
          <w:ilvl w:val="4"/>
          <w:numId w:val="4"/>
        </w:numPr>
        <w:overflowPunct w:val="tru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Será exigida do licitante declaração de que cumpre as exigências de reserva de cargos para pessoa com deficiência e para reabilitado da Previdência Social, previstas em lei e em outras normas específicas.</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Caso recaia suspeitas ou haja provocação por terceiros sobre eventual impedimento de licitar pelos licitantes vencedores, a qualquer tempo o Pregoeiro; os Membros da Comissão; ou a Procuradoria Jurídica; poderão sanear as dúvidas mediante a consulta aos seguintes Cadastros:</w:t>
      </w:r>
    </w:p>
    <w:p>
      <w:pPr>
        <w:pStyle w:val="Corpodotexto"/>
        <w:numPr>
          <w:ilvl w:val="4"/>
          <w:numId w:val="4"/>
        </w:numPr>
        <w:spacing w:lineRule="auto" w:line="240" w:before="31" w:after="62"/>
        <w:jc w:val="both"/>
        <w:rPr>
          <w:rFonts w:ascii="Arial" w:hAnsi="Arial"/>
          <w:color w:val="000000"/>
          <w:sz w:val="19"/>
          <w:szCs w:val="19"/>
        </w:rPr>
      </w:pPr>
      <w:r>
        <w:rPr>
          <w:color w:val="000000"/>
          <w:sz w:val="19"/>
          <w:szCs w:val="19"/>
        </w:rPr>
        <w:t xml:space="preserve">Cadastro de Impedidos de Licitar do TCE/PR; </w:t>
      </w:r>
    </w:p>
    <w:p>
      <w:pPr>
        <w:pStyle w:val="Corpodotexto"/>
        <w:numPr>
          <w:ilvl w:val="4"/>
          <w:numId w:val="4"/>
        </w:numPr>
        <w:spacing w:lineRule="auto" w:line="240" w:before="31" w:after="62"/>
        <w:jc w:val="both"/>
        <w:rPr>
          <w:rFonts w:ascii="Arial" w:hAnsi="Arial"/>
          <w:color w:val="000000"/>
          <w:sz w:val="19"/>
          <w:szCs w:val="19"/>
        </w:rPr>
      </w:pPr>
      <w:r>
        <w:rPr>
          <w:color w:val="000000"/>
          <w:sz w:val="19"/>
          <w:szCs w:val="19"/>
        </w:rPr>
        <w:t>Cadastro Nacional de Empresas Inidôneas e Suspensas – CEIS, mantido pela Controladoria Geral da União;</w:t>
      </w:r>
    </w:p>
    <w:p>
      <w:pPr>
        <w:pStyle w:val="Corpodotexto"/>
        <w:numPr>
          <w:ilvl w:val="4"/>
          <w:numId w:val="4"/>
        </w:numPr>
        <w:spacing w:lineRule="auto" w:line="240" w:before="31" w:after="62"/>
        <w:jc w:val="both"/>
        <w:rPr>
          <w:rFonts w:ascii="Arial" w:hAnsi="Arial"/>
          <w:color w:val="000000"/>
          <w:sz w:val="19"/>
          <w:szCs w:val="19"/>
        </w:rPr>
      </w:pPr>
      <w:r>
        <w:rPr>
          <w:color w:val="000000"/>
          <w:sz w:val="19"/>
          <w:szCs w:val="19"/>
        </w:rPr>
        <w:t>Cadastro Nacional de Condenações Cíveis por Atos de Improbidade Administrativa, mantido pelo Conselho Nacional de Justiça, – entre outras consultas a órgãos pertinentes. A consulta aos cadastros será realizada em nome da empresa licitante e também de seu sócio majoritário, por força do artigo 12 da Lei n.º 8.429, de 1992, que prevê dentre as sanções impostas ao responsável pela prática de ato de improbidade administrativa, a proibição de contratar com o Poder Público, inclusive por intermédio de pessoa jurídica da qual seja sócio majoritário.</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O documento apresentado que não expressar o prazo de validade deverá ter data de expedição não superior a 180 (cento e oitenta) dias sob pena de inabilitação da proponente, ressalvada às condições para ME/EPP/MEI previstas na Lei Complementar nº 123/2006 ou outra lei específica que determine o prazo de validade.</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O pregoeiro a seu critério no caso de eventuais divergências ou suspeitas nas documentações para fins de habilitação juntadas na plataforma eletrônica, poderá requisitar os respectivos originais ou cópias autenticadas para suprir a dúvida de autenticidade. Ainda, no caso da declaração de enquadramento como ME/EPP, a mesma poderá ser confrontada com as disposições da legislação vigente, em especial, a Lei 123/2006, sendo que a comissão poderá realizar diligência em prazo a ser estabelecido para apurar a veracidade dos termos declarados.</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Quando a empresa for representada por diretor, sócio ou gerente, a capacidade de representação será verificada em face do próprio contrato ou estatuto social.</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As empresas convocadas que não apresentarem a documentação estarão sujeitas às penalidades previstas neste Edital.</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Eventuais falhas, omissões ou outras irregularidades formais nos documentos de habilitação, poderão ser saneadas na sessão pública de processamento do Pregão, até a decisão sobre a habilitação, inclusive mediante verificação efetuada por meio eletrônico hábil de informações.</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A verificação será certificada pelo Pregoeiro e deverão ser anexados aos autos os documentos passíveis de obtenção por meio eletrônico, salvo impossibilidade devidamente justificada.</w:t>
      </w:r>
    </w:p>
    <w:p>
      <w:pPr>
        <w:pStyle w:val="Corpodotexto"/>
        <w:numPr>
          <w:ilvl w:val="1"/>
          <w:numId w:val="4"/>
        </w:numPr>
        <w:spacing w:lineRule="auto" w:line="240" w:before="31" w:after="62"/>
        <w:jc w:val="both"/>
        <w:rPr>
          <w:rFonts w:ascii="Arial" w:hAnsi="Arial" w:eastAsia="Times New Roman" w:cs="Verdana"/>
          <w:b w:val="false"/>
          <w:b w:val="false"/>
          <w:i w:val="false"/>
          <w:i w:val="false"/>
          <w:caps w:val="false"/>
          <w:smallCaps w:val="false"/>
          <w:strike w:val="false"/>
          <w:dstrike w:val="false"/>
          <w:color w:val="auto"/>
          <w:spacing w:val="0"/>
          <w:sz w:val="19"/>
          <w:szCs w:val="19"/>
          <w:lang w:val="pt-BR" w:eastAsia="zh-CN" w:bidi="ar-SA"/>
        </w:rPr>
      </w:pPr>
      <w:r>
        <w:rPr>
          <w:rFonts w:eastAsia="Times New Roman" w:cs="Verdana"/>
          <w:b w:val="false"/>
          <w:i w:val="false"/>
          <w:caps w:val="false"/>
          <w:smallCaps w:val="false"/>
          <w:strike w:val="false"/>
          <w:dstrike w:val="false"/>
          <w:color w:val="auto"/>
          <w:spacing w:val="0"/>
          <w:sz w:val="19"/>
          <w:szCs w:val="19"/>
          <w:lang w:val="pt-BR" w:eastAsia="zh-CN" w:bidi="ar-SA"/>
        </w:rPr>
        <w:t>Após o fim da fase de lances/negociação, o Pregoeiro realizará o agendamento para que as licitantes anexem obrigatoriamente a proposta ajustada dos itens classificados em seu favor no site do Compras.Gov.</w:t>
      </w:r>
    </w:p>
    <w:p>
      <w:pPr>
        <w:pStyle w:val="Normal"/>
        <w:numPr>
          <w:ilvl w:val="0"/>
          <w:numId w:val="0"/>
        </w:numPr>
        <w:spacing w:lineRule="auto" w:line="240" w:before="31" w:after="62"/>
        <w:ind w:left="0" w:hanging="0"/>
        <w:jc w:val="both"/>
        <w:rPr>
          <w:rFonts w:ascii="Arial" w:hAnsi="Arial" w:eastAsia="Times New Roman" w:cs="Arial-BoldMT"/>
          <w:b w:val="false"/>
          <w:b w:val="false"/>
          <w:bCs/>
          <w:color w:val="C9211E"/>
          <w:sz w:val="19"/>
          <w:szCs w:val="19"/>
        </w:rPr>
      </w:pPr>
      <w:r>
        <w:rPr>
          <w:rFonts w:eastAsia="Times New Roman" w:cs="Arial-BoldMT" w:ascii="Arial" w:hAnsi="Arial"/>
          <w:b w:val="false"/>
          <w:bCs/>
          <w:color w:val="C9211E"/>
          <w:sz w:val="19"/>
          <w:szCs w:val="19"/>
        </w:rPr>
      </w:r>
    </w:p>
    <w:p>
      <w:pPr>
        <w:pStyle w:val="Ttulo1"/>
        <w:numPr>
          <w:ilvl w:val="0"/>
          <w:numId w:val="4"/>
        </w:numPr>
        <w:shd w:val="clear" w:fill="EEEEEE"/>
        <w:overflowPunct w:val="true"/>
        <w:spacing w:lineRule="auto" w:line="240" w:before="31" w:after="62"/>
        <w:jc w:val="center"/>
        <w:textAlignment w:val="baseline"/>
        <w:rPr>
          <w:rFonts w:ascii="Arial" w:hAnsi="Arial" w:eastAsia="MS Mincho;ＭＳ 明朝" w:cs="ArialMT"/>
          <w:b/>
          <w:b/>
          <w:color w:val="000000"/>
          <w:sz w:val="19"/>
          <w:szCs w:val="19"/>
          <w:lang w:val="pt-BR" w:bidi="ar-SA"/>
        </w:rPr>
      </w:pPr>
      <w:r>
        <w:rPr>
          <w:rFonts w:eastAsia="MS Mincho;ＭＳ 明朝" w:cs="ArialMT"/>
          <w:b/>
          <w:color w:val="000000"/>
          <w:sz w:val="19"/>
          <w:szCs w:val="19"/>
          <w:lang w:val="pt-BR" w:bidi="ar-SA"/>
        </w:rPr>
        <w:t>DA ADJUDICAÇÃO E HOMOLOGAÇÃO</w:t>
      </w:r>
    </w:p>
    <w:p>
      <w:pPr>
        <w:pStyle w:val="Normal"/>
        <w:numPr>
          <w:ilvl w:val="1"/>
          <w:numId w:val="4"/>
        </w:numPr>
        <w:overflowPunct w:val="true"/>
        <w:spacing w:lineRule="auto" w:line="240" w:before="62" w:after="62"/>
        <w:jc w:val="both"/>
        <w:textAlignment w:val="baseline"/>
        <w:rPr>
          <w:rFonts w:ascii="Arial" w:hAnsi="Arial"/>
          <w:color w:val="000000"/>
          <w:sz w:val="19"/>
          <w:szCs w:val="19"/>
        </w:rPr>
      </w:pPr>
      <w:r>
        <w:rPr>
          <w:rFonts w:eastAsia="MS Mincho" w:cs="ArialMT" w:ascii="Arial" w:hAnsi="Arial"/>
          <w:color w:val="000000"/>
          <w:sz w:val="19"/>
          <w:szCs w:val="19"/>
          <w:lang w:bidi="ar-SA"/>
        </w:rPr>
        <w:t xml:space="preserve">Terminada a fase de HABILITAÇÃO o pregoeiro notificará a licitante classificada em primeiro lugar através de chat, para o envio da proposta ajustada conforme </w:t>
      </w:r>
      <w:r>
        <w:rPr>
          <w:rFonts w:eastAsia="MS Mincho" w:cs="ArialMT" w:ascii="Arial" w:hAnsi="Arial"/>
          <w:color w:val="000000"/>
          <w:sz w:val="19"/>
          <w:szCs w:val="19"/>
          <w:shd w:fill="auto" w:val="clear"/>
          <w:lang w:bidi="ar-SA"/>
        </w:rPr>
        <w:t>anexo II</w:t>
      </w:r>
      <w:r>
        <w:rPr>
          <w:rFonts w:eastAsia="MS Mincho" w:cs="ArialMT" w:ascii="Arial" w:hAnsi="Arial"/>
          <w:color w:val="000000"/>
          <w:sz w:val="19"/>
          <w:szCs w:val="19"/>
          <w:lang w:bidi="ar-SA"/>
        </w:rPr>
        <w:t>, devendo:</w:t>
      </w:r>
    </w:p>
    <w:p>
      <w:pPr>
        <w:pStyle w:val="Corpodotexto"/>
        <w:numPr>
          <w:ilvl w:val="5"/>
          <w:numId w:val="4"/>
        </w:numPr>
        <w:spacing w:lineRule="auto" w:line="240" w:before="31" w:after="62"/>
        <w:rPr>
          <w:rFonts w:eastAsia="MS Mincho" w:cs="ArialMT"/>
          <w:color w:val="000000"/>
          <w:szCs w:val="19"/>
          <w:lang w:bidi="ar-SA"/>
        </w:rPr>
      </w:pPr>
      <w:r>
        <w:rPr>
          <w:rFonts w:eastAsia="MS Mincho" w:cs="ArialMT"/>
          <w:color w:val="000000"/>
          <w:szCs w:val="19"/>
          <w:lang w:bidi="ar-SA"/>
        </w:rPr>
        <w:t>conter prazo de validade da proposta não inferior a 60 dias.</w:t>
      </w:r>
    </w:p>
    <w:p>
      <w:pPr>
        <w:pStyle w:val="Corpodotexto"/>
        <w:numPr>
          <w:ilvl w:val="5"/>
          <w:numId w:val="4"/>
        </w:numPr>
        <w:spacing w:lineRule="auto" w:line="240" w:before="31" w:after="62"/>
        <w:rPr>
          <w:rFonts w:eastAsia="MS Mincho" w:cs="ArialMT"/>
          <w:color w:val="000000"/>
          <w:szCs w:val="19"/>
          <w:lang w:bidi="ar-SA"/>
        </w:rPr>
      </w:pPr>
      <w:r>
        <w:rPr>
          <w:rFonts w:eastAsia="MS Mincho" w:cs="ArialMT"/>
          <w:color w:val="000000"/>
          <w:szCs w:val="19"/>
          <w:lang w:bidi="ar-SA"/>
        </w:rPr>
        <w:t>ser redigida em língua portuguesa, datilografada ou digitada, em uma via, sem emendas, rasuras, entrelinhas ou ressalvas, devendo a última folha ser assinada e as demais rubricadas pelo licitante ou seu representante legal.</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A proposta final deverá ser documentada nos autos e será levada em consideração no decorrer da execução do contrato e aplicação de eventual sanção à Contratada, se for o caso.</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Todas as especificações do objeto contidas na proposta, tais como marca, modelo, tipo, fabricante e procedência, vinculam a Contratada.</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Os preços deverão ser expressos em moeda corrente nacional, o valor unitário em algarismos e o valor global em algarismos e por extenso.</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Ocorrendo divergência entre os preços unitários e o preço global, prevalecerão os primeiros; no caso de divergência entre os valores numéricos e os valores expressos por extenso, prevalecerão estes últimos.</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A oferta deverá ser firme e precisa, limitada, rigorosamente, ao objeto deste Edital, sem conter alternativas de preço ou de qualquer outra condição que induza o julgamento a mais de um resultado, sob pena de desclassificação.</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A proposta deverá obedecer aos termos deste Edital e seus Anexos, não sendo considerada aquela que não corresponda às especificações ali contidas ou que estabeleça vínculo à proposta de outro licitante.</w:t>
      </w:r>
    </w:p>
    <w:p>
      <w:pPr>
        <w:pStyle w:val="Corpodotexto"/>
        <w:numPr>
          <w:ilvl w:val="1"/>
          <w:numId w:val="4"/>
        </w:numPr>
        <w:spacing w:lineRule="auto" w:line="240" w:before="31" w:after="62"/>
        <w:rPr>
          <w:rFonts w:eastAsia="MS Mincho" w:cs="ArialMT"/>
          <w:color w:val="000000"/>
          <w:szCs w:val="19"/>
          <w:lang w:bidi="ar-SA"/>
        </w:rPr>
      </w:pPr>
      <w:r>
        <w:rPr>
          <w:rFonts w:eastAsia="MS Mincho" w:cs="ArialMT"/>
          <w:color w:val="000000"/>
          <w:szCs w:val="19"/>
          <w:lang w:bidi="ar-SA"/>
        </w:rPr>
        <w:t>As propostas que contenham a descrição do objeto, o valor e os documentos complementares estarão disponíveis na internet, após a homologação.</w:t>
      </w:r>
    </w:p>
    <w:p>
      <w:pPr>
        <w:pStyle w:val="Normal"/>
        <w:numPr>
          <w:ilvl w:val="1"/>
          <w:numId w:val="4"/>
        </w:numPr>
        <w:overflowPunct w:val="true"/>
        <w:spacing w:lineRule="auto" w:line="240" w:before="62" w:after="62"/>
        <w:jc w:val="both"/>
        <w:textAlignment w:val="baseline"/>
        <w:rPr>
          <w:rFonts w:ascii="Arial" w:hAnsi="Arial"/>
          <w:color w:val="000000"/>
          <w:sz w:val="19"/>
          <w:szCs w:val="19"/>
        </w:rPr>
      </w:pPr>
      <w:r>
        <w:rPr>
          <w:rFonts w:cs="Verdana" w:ascii="Arial" w:hAnsi="Arial"/>
          <w:color w:val="000000"/>
          <w:sz w:val="19"/>
          <w:szCs w:val="19"/>
        </w:rPr>
        <w:t>Constatando o atendimento das exigências fixadas neste Edital e encerradas as fases de julgamento e habilitação o objeto será adjudicado ao autor da proposta ou lance de menor preço. Exauridos os recursos administrativos, o processo licitatório será encaminhado à autoridade superior, que após constatação da regularidade dos atos praticados efetuará a adjudicação e homologação da licitação.</w:t>
      </w:r>
    </w:p>
    <w:p>
      <w:pPr>
        <w:pStyle w:val="Corpodotexto"/>
        <w:numPr>
          <w:ilvl w:val="0"/>
          <w:numId w:val="0"/>
        </w:numPr>
        <w:overflowPunct w:val="true"/>
        <w:spacing w:lineRule="auto" w:line="240" w:before="31" w:after="62"/>
        <w:ind w:left="0" w:hanging="0"/>
        <w:jc w:val="both"/>
        <w:textAlignment w:val="baseline"/>
        <w:rPr>
          <w:rFonts w:ascii="Arial" w:hAnsi="Arial" w:eastAsia="MS Mincho;ＭＳ 明朝" w:cs="ArialMT"/>
          <w:b/>
          <w:b/>
          <w:color w:val="C9211E"/>
          <w:sz w:val="19"/>
          <w:szCs w:val="19"/>
          <w:lang w:val="pt-BR" w:bidi="ar-SA"/>
        </w:rPr>
      </w:pPr>
      <w:r>
        <w:rPr>
          <w:rFonts w:eastAsia="MS Mincho;ＭＳ 明朝" w:cs="ArialMT"/>
          <w:b/>
          <w:color w:val="C9211E"/>
          <w:sz w:val="19"/>
          <w:szCs w:val="19"/>
          <w:lang w:val="pt-BR" w:bidi="ar-SA"/>
        </w:rPr>
      </w:r>
    </w:p>
    <w:p>
      <w:pPr>
        <w:pStyle w:val="Ttulo1"/>
        <w:numPr>
          <w:ilvl w:val="0"/>
          <w:numId w:val="4"/>
        </w:numPr>
        <w:shd w:val="clear" w:fill="EEEEEE"/>
        <w:spacing w:lineRule="auto" w:line="240" w:before="31" w:after="62"/>
        <w:jc w:val="center"/>
        <w:rPr>
          <w:rFonts w:ascii="Arial" w:hAnsi="Arial"/>
          <w:color w:val="000000"/>
          <w:sz w:val="19"/>
          <w:szCs w:val="19"/>
        </w:rPr>
      </w:pPr>
      <w:r>
        <w:rPr>
          <w:rFonts w:cs="Arial-ItalicMT"/>
          <w:iCs/>
          <w:color w:val="000000"/>
          <w:sz w:val="19"/>
          <w:szCs w:val="19"/>
          <w:shd w:fill="auto" w:val="clear"/>
        </w:rPr>
        <w:t>DA GESTÃO DO CONTRATO</w:t>
      </w:r>
    </w:p>
    <w:p>
      <w:pPr>
        <w:pStyle w:val="Normal"/>
        <w:numPr>
          <w:ilvl w:val="1"/>
          <w:numId w:val="4"/>
        </w:numPr>
        <w:overflowPunct w:val="tru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ItalicMT" w:ascii="Arial" w:hAnsi="Arial"/>
          <w:b w:val="false"/>
          <w:bCs w:val="false"/>
          <w:i w:val="false"/>
          <w:iCs/>
          <w:caps w:val="false"/>
          <w:smallCaps w:val="false"/>
          <w:color w:val="000000"/>
          <w:spacing w:val="0"/>
          <w:sz w:val="19"/>
          <w:szCs w:val="19"/>
          <w:u w:val="none"/>
          <w:shd w:fill="auto" w:val="clear"/>
        </w:rPr>
        <w:t xml:space="preserve"> </w:t>
      </w:r>
      <w:r>
        <w:rPr>
          <w:rFonts w:cs="ArialMT" w:ascii="Arial" w:hAnsi="Arial"/>
          <w:b w:val="false"/>
          <w:bCs w:val="false"/>
          <w:i w:val="false"/>
          <w:iCs/>
          <w:caps w:val="false"/>
          <w:smallCaps w:val="false"/>
          <w:color w:val="000000"/>
          <w:spacing w:val="0"/>
          <w:sz w:val="19"/>
          <w:szCs w:val="19"/>
          <w:u w:val="none"/>
          <w:shd w:fill="auto" w:val="clear"/>
        </w:rPr>
        <w:t>DA FISCALIZAÇÃO</w:t>
      </w:r>
    </w:p>
    <w:p>
      <w:pPr>
        <w:pStyle w:val="Normal"/>
        <w:numPr>
          <w:ilvl w:val="2"/>
          <w:numId w:val="4"/>
        </w:numPr>
        <w:overflowPunct w:val="true"/>
        <w:spacing w:lineRule="auto" w:line="240" w:before="31" w:after="62"/>
        <w:ind w:left="0" w:right="0" w:hanging="0"/>
        <w:jc w:val="both"/>
        <w:textAlignment w:val="baseline"/>
        <w:rPr>
          <w:rFonts w:ascii="Arial" w:hAnsi="Arial"/>
          <w:sz w:val="19"/>
          <w:szCs w:val="19"/>
        </w:rPr>
      </w:pPr>
      <w:r>
        <w:rPr>
          <w:rFonts w:cs="Arial-ItalicMT" w:ascii="Arial" w:hAnsi="Arial"/>
          <w:iCs/>
          <w:color w:val="000000"/>
          <w:sz w:val="19"/>
          <w:szCs w:val="19"/>
          <w:shd w:fill="auto" w:val="clear"/>
        </w:rPr>
        <w:t>O acompanhamento e fiscalização do fornecimento de bens e materiais do presente contrato e demais atribuições descritas nos art. 8º e 9º do Decreto Municipal n.º 31/2023 serão realizados pelo seguinte fiscal de contrato</w:t>
      </w:r>
      <w:r>
        <w:rPr>
          <w:rFonts w:cs="Verdana" w:ascii="Arial" w:hAnsi="Arial"/>
          <w:iCs/>
          <w:color w:val="000000"/>
          <w:sz w:val="19"/>
          <w:szCs w:val="19"/>
          <w:shd w:fill="auto" w:val="clear"/>
        </w:rPr>
        <w:t>:</w:t>
      </w:r>
      <w:r>
        <w:rPr>
          <w:rFonts w:cs="Arial-ItalicMT" w:ascii="Arial" w:hAnsi="Arial"/>
          <w:iCs/>
          <w:color w:val="000000"/>
          <w:sz w:val="19"/>
          <w:szCs w:val="19"/>
          <w:shd w:fill="auto" w:val="clear"/>
        </w:rPr>
        <w:t xml:space="preserve"> João Paulo Maricato.</w:t>
      </w:r>
    </w:p>
    <w:p>
      <w:pPr>
        <w:pStyle w:val="Normal"/>
        <w:numPr>
          <w:ilvl w:val="2"/>
          <w:numId w:val="4"/>
        </w:numPr>
        <w:overflowPunct w:val="true"/>
        <w:spacing w:lineRule="auto" w:line="240" w:before="31" w:after="62"/>
        <w:ind w:left="0" w:right="0" w:hanging="0"/>
        <w:jc w:val="both"/>
        <w:textAlignment w:val="baseline"/>
        <w:rPr>
          <w:rFonts w:ascii="Arial" w:hAnsi="Arial"/>
          <w:sz w:val="19"/>
          <w:szCs w:val="19"/>
        </w:rPr>
      </w:pPr>
      <w:r>
        <w:rPr>
          <w:rFonts w:cs="Arial-ItalicMT" w:ascii="Arial" w:hAnsi="Arial"/>
          <w:iCs/>
          <w:color w:val="000000"/>
          <w:sz w:val="19"/>
          <w:szCs w:val="19"/>
          <w:shd w:fill="auto" w:val="clear"/>
        </w:rPr>
        <w:t>As atribuições administrativas do presente contrato, especialmente as descritas no art. 7º do Decreto Municipal n.º 31/2023 serão realizadas pelo seguinte gestor de contrato</w:t>
      </w:r>
      <w:r>
        <w:rPr>
          <w:rFonts w:cs="Verdana" w:ascii="Arial" w:hAnsi="Arial"/>
          <w:iCs/>
          <w:color w:val="000000"/>
          <w:sz w:val="19"/>
          <w:szCs w:val="19"/>
          <w:shd w:fill="auto" w:val="clear"/>
        </w:rPr>
        <w:t>: Adriano Biggi.</w:t>
      </w:r>
    </w:p>
    <w:p>
      <w:pPr>
        <w:pStyle w:val="Normal"/>
        <w:numPr>
          <w:ilvl w:val="1"/>
          <w:numId w:val="4"/>
        </w:numPr>
        <w:overflowPunct w:val="true"/>
        <w:spacing w:lineRule="auto" w:line="240" w:before="31" w:after="62"/>
        <w:ind w:left="0" w:right="0" w:hanging="0"/>
        <w:jc w:val="both"/>
        <w:textAlignment w:val="baseline"/>
        <w:rPr>
          <w:rFonts w:ascii="Arial" w:hAnsi="Arial"/>
          <w:b w:val="false"/>
          <w:b w:val="false"/>
          <w:bCs w:val="false"/>
          <w:color w:val="000000"/>
          <w:sz w:val="19"/>
          <w:szCs w:val="19"/>
          <w:shd w:fill="auto" w:val="clear"/>
        </w:rPr>
      </w:pPr>
      <w:r>
        <w:rPr>
          <w:rFonts w:cs="Verdana" w:ascii="Arial" w:hAnsi="Arial"/>
          <w:b w:val="false"/>
          <w:bCs w:val="false"/>
          <w:iCs/>
          <w:color w:val="000000"/>
          <w:sz w:val="19"/>
          <w:szCs w:val="19"/>
          <w:shd w:fill="auto" w:val="clear"/>
        </w:rPr>
        <w:t>DA FORMA DE PAGAMENTO</w:t>
      </w:r>
    </w:p>
    <w:p>
      <w:pPr>
        <w:pStyle w:val="Corpodotexto"/>
        <w:numPr>
          <w:ilvl w:val="2"/>
          <w:numId w:val="4"/>
        </w:numPr>
        <w:spacing w:lineRule="auto" w:line="240" w:before="31" w:after="62"/>
        <w:ind w:left="0" w:hanging="0"/>
        <w:jc w:val="both"/>
        <w:rPr/>
      </w:pPr>
      <w:bookmarkStart w:id="2" w:name="forma_de_pagamento"/>
      <w:r>
        <w:rPr/>
        <w:t xml:space="preserve">O pagamento será efetuado em </w:t>
      </w:r>
      <w:bookmarkEnd w:id="2"/>
      <w:r>
        <w:rPr>
          <w:color w:val="FF0000"/>
        </w:rPr>
        <w:t>até 10 dias úteis após a entrega da Nota Fiscal</w:t>
      </w:r>
      <w:r>
        <w:rPr/>
        <w:t xml:space="preserve">, após conferência quantitativa e qualitativa pela Divisão responsável pelo recebimento, com base nos preços unitários apresentados na proposta/lance e mediante a verificação de regularidade ou apresentação dos seguintes documentos: </w:t>
      </w:r>
    </w:p>
    <w:p>
      <w:pPr>
        <w:pStyle w:val="Corpodotexto"/>
        <w:numPr>
          <w:ilvl w:val="5"/>
          <w:numId w:val="4"/>
        </w:numPr>
        <w:spacing w:lineRule="auto" w:line="240" w:before="31" w:after="62"/>
        <w:ind w:left="0" w:hanging="0"/>
        <w:jc w:val="both"/>
        <w:rPr/>
      </w:pPr>
      <w:r>
        <w:rPr>
          <w:b w:val="false"/>
          <w:bCs w:val="false"/>
        </w:rPr>
        <w:t>Prova de regularidade relativo aos</w:t>
      </w:r>
      <w:r>
        <w:rPr/>
        <w:t xml:space="preserve"> Débitos Relativos aos Tributos Federais e à Dívida Ativa da União;</w:t>
      </w:r>
    </w:p>
    <w:p>
      <w:pPr>
        <w:pStyle w:val="Corpodotexto"/>
        <w:numPr>
          <w:ilvl w:val="5"/>
          <w:numId w:val="4"/>
        </w:numPr>
        <w:spacing w:lineRule="auto" w:line="240" w:before="31" w:after="62"/>
        <w:ind w:left="0" w:hanging="0"/>
        <w:jc w:val="both"/>
        <w:rPr/>
      </w:pPr>
      <w:r>
        <w:rPr>
          <w:b w:val="false"/>
          <w:bCs w:val="false"/>
        </w:rPr>
        <w:t>Prova de regularidade relativo aos</w:t>
      </w:r>
      <w:r>
        <w:rPr/>
        <w:t xml:space="preserve"> Débitos da Fazenda Estadual do domicílio da empresa;</w:t>
      </w:r>
    </w:p>
    <w:p>
      <w:pPr>
        <w:pStyle w:val="Corpodotexto"/>
        <w:numPr>
          <w:ilvl w:val="5"/>
          <w:numId w:val="4"/>
        </w:numPr>
        <w:spacing w:lineRule="auto" w:line="240" w:before="31" w:after="62"/>
        <w:ind w:left="0" w:hanging="0"/>
        <w:jc w:val="both"/>
        <w:rPr/>
      </w:pPr>
      <w:r>
        <w:rPr>
          <w:b w:val="false"/>
          <w:bCs w:val="false"/>
        </w:rPr>
        <w:t xml:space="preserve">Prova de regularidade relativo aos </w:t>
      </w:r>
      <w:r>
        <w:rPr/>
        <w:t>Débitos Municipais, e caso exista filial no Município de Cianorte a Prova de regularidade desta também deverá ser apresentada;</w:t>
      </w:r>
    </w:p>
    <w:p>
      <w:pPr>
        <w:pStyle w:val="Corpodotexto"/>
        <w:numPr>
          <w:ilvl w:val="5"/>
          <w:numId w:val="4"/>
        </w:numPr>
        <w:spacing w:lineRule="auto" w:line="240" w:before="31" w:after="62"/>
        <w:ind w:left="0" w:hanging="0"/>
        <w:jc w:val="both"/>
        <w:rPr/>
      </w:pPr>
      <w:r>
        <w:rPr>
          <w:b w:val="false"/>
          <w:bCs w:val="false"/>
        </w:rPr>
        <w:t xml:space="preserve">Prova de regularidade relativo </w:t>
      </w:r>
      <w:r>
        <w:rPr/>
        <w:t xml:space="preserve">de FGTS; </w:t>
      </w:r>
    </w:p>
    <w:p>
      <w:pPr>
        <w:pStyle w:val="Corpodotexto"/>
        <w:numPr>
          <w:ilvl w:val="5"/>
          <w:numId w:val="4"/>
        </w:numPr>
        <w:spacing w:lineRule="auto" w:line="240" w:before="31" w:after="62"/>
        <w:ind w:left="0" w:hanging="0"/>
        <w:jc w:val="both"/>
        <w:rPr/>
      </w:pPr>
      <w:r>
        <w:rPr>
          <w:b w:val="false"/>
          <w:bCs w:val="false"/>
        </w:rPr>
        <w:t>Prova de regularidade relativo aos</w:t>
      </w:r>
      <w:r>
        <w:rPr/>
        <w:t xml:space="preserve"> Débitos Trabalhistas (CNDT); </w:t>
      </w:r>
    </w:p>
    <w:p>
      <w:pPr>
        <w:pStyle w:val="Corpodotexto"/>
        <w:numPr>
          <w:ilvl w:val="5"/>
          <w:numId w:val="4"/>
        </w:numPr>
        <w:spacing w:lineRule="auto" w:line="240" w:before="31" w:after="62"/>
        <w:ind w:left="0" w:hanging="0"/>
        <w:jc w:val="both"/>
        <w:rPr/>
      </w:pPr>
      <w:r>
        <w:rPr/>
        <w:t>Situação perante o Cadastro Nacional de Pessoas Jurídicas do Ministério da Fazenda (Cartão CNPJ).</w:t>
      </w:r>
    </w:p>
    <w:p>
      <w:pPr>
        <w:pStyle w:val="Corpodotexto"/>
        <w:numPr>
          <w:ilvl w:val="2"/>
          <w:numId w:val="4"/>
        </w:numPr>
        <w:spacing w:lineRule="auto" w:line="240" w:before="31" w:after="62"/>
        <w:ind w:left="0" w:hanging="0"/>
        <w:jc w:val="both"/>
        <w:rPr/>
      </w:pPr>
      <w:r>
        <w:rPr/>
        <w:t>A compensação financeira é admitida nos casos de eventuais atrasos de pagamento pela Administração, desde que o contratado não tenha concorrido de alguma forma para o atraso. É devida desde a data limite fixada na ata para o pagamento até a data correspondente ao efetivo pagamento da parcela.</w:t>
      </w:r>
    </w:p>
    <w:p>
      <w:pPr>
        <w:pStyle w:val="Corpodotexto"/>
        <w:numPr>
          <w:ilvl w:val="2"/>
          <w:numId w:val="4"/>
        </w:numPr>
        <w:spacing w:lineRule="auto" w:line="240" w:before="31" w:after="62"/>
        <w:ind w:left="0" w:hanging="0"/>
        <w:jc w:val="both"/>
        <w:rPr>
          <w:rFonts w:ascii="Arial" w:hAnsi="Arial" w:cs="Arial-ItalicMT"/>
          <w:iCs/>
          <w:sz w:val="19"/>
          <w:szCs w:val="19"/>
        </w:rPr>
      </w:pPr>
      <w:r>
        <w:rPr>
          <w:rFonts w:cs="Arial-ItalicMT"/>
          <w:iCs/>
          <w:sz w:val="19"/>
          <w:szCs w:val="19"/>
        </w:rPr>
        <w:t>Os encargos moratórios devidos em razão do atraso no pagamento poderão ser calculados com utilização da seguinte fórmula: EM = N x VP x I, Onde: EM = Encargos moratórios; N = Número de dias entre a data prevista para o pagamento e a do efetivo pagamento; VP = Valor da parcela a ser paga; I = Índice de compensação financeira, assim apurado: I = (TX/100)/365; TX = Percentual da taxa anual do IPCA – Índice de Preços ao Consumidor Ampliado, do IBGE.</w:t>
      </w:r>
    </w:p>
    <w:p>
      <w:pPr>
        <w:pStyle w:val="Corpodotexto"/>
        <w:numPr>
          <w:ilvl w:val="1"/>
          <w:numId w:val="4"/>
        </w:numPr>
        <w:spacing w:lineRule="auto" w:line="240" w:before="31" w:after="62"/>
        <w:ind w:left="0" w:hanging="0"/>
        <w:jc w:val="both"/>
        <w:rPr>
          <w:sz w:val="19"/>
          <w:szCs w:val="19"/>
          <w:shd w:fill="auto" w:val="clear"/>
        </w:rPr>
      </w:pPr>
      <w:r>
        <w:rPr>
          <w:rFonts w:cs="Arial-ItalicMT"/>
          <w:iCs/>
          <w:sz w:val="19"/>
          <w:szCs w:val="19"/>
          <w:shd w:fill="auto" w:val="clear"/>
        </w:rPr>
        <w:t>A Licitante contratada deverá m</w:t>
      </w: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anter durante a execução do contrato/atas todas as condições de habilitação exigidas na licitação que deu origem ao presente instrumento (inciso XVI, art. 92 da Lei Federal nº 14.133/2021 e suas alterações).</w:t>
      </w:r>
    </w:p>
    <w:p>
      <w:pPr>
        <w:pStyle w:val="Corpodotexto"/>
        <w:numPr>
          <w:ilvl w:val="1"/>
          <w:numId w:val="4"/>
        </w:numPr>
        <w:spacing w:lineRule="auto" w:line="240" w:before="31" w:after="62"/>
        <w:ind w:left="0" w:hanging="0"/>
        <w:jc w:val="both"/>
        <w:rPr>
          <w:rFonts w:ascii="Arial" w:hAnsi="Arial" w:eastAsia="Arial" w:cs="Arial"/>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DAS CONDIÇÕES DE RECEBIMENTO DO OBJETO</w:t>
      </w:r>
    </w:p>
    <w:p>
      <w:pPr>
        <w:pStyle w:val="Corpodotexto"/>
        <w:numPr>
          <w:ilvl w:val="2"/>
          <w:numId w:val="4"/>
        </w:numPr>
        <w:spacing w:lineRule="auto" w:line="240" w:before="31" w:after="62"/>
        <w:ind w:left="0" w:hanging="0"/>
        <w:jc w:val="both"/>
        <w:rPr>
          <w:rFonts w:ascii="Arial" w:hAnsi="Arial" w:eastAsia="Arial" w:cs="ArialMT"/>
          <w:b/>
          <w:b/>
          <w:bCs/>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MT"/>
          <w:b/>
          <w:bCs/>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A empresa contratada deverá entregar os produtos no prazo de 10 dias úteis, na Secretaria Municipal de Obras e Serviços Públicos, Av. Rio Branco nº 1.350 em Cianorte – PR.</w:t>
      </w:r>
    </w:p>
    <w:p>
      <w:pPr>
        <w:pStyle w:val="Corpodotexto"/>
        <w:numPr>
          <w:ilvl w:val="2"/>
          <w:numId w:val="4"/>
        </w:numPr>
        <w:spacing w:lineRule="auto" w:line="240" w:before="31" w:after="62"/>
        <w:ind w:left="0" w:hanging="0"/>
        <w:jc w:val="both"/>
        <w:rPr>
          <w:rFonts w:ascii="Arial" w:hAnsi="Arial" w:eastAsia="Arial" w:cs="ArialMT"/>
          <w:b/>
          <w:b/>
          <w:bCs/>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MT"/>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 xml:space="preserve">Caso não seja possível a entrega na data assinalada, a empresa deverá comunicar as razões respectivas com pelo menos 7 dias de antecedência para que qualquer pleito de prorrogação de prazo seja analisado, ressalvadas situações de caso fortuito e força maior. </w:t>
      </w:r>
    </w:p>
    <w:p>
      <w:pPr>
        <w:pStyle w:val="Corpodotexto"/>
        <w:numPr>
          <w:ilvl w:val="2"/>
          <w:numId w:val="4"/>
        </w:numPr>
        <w:spacing w:lineRule="auto" w:line="240" w:before="31" w:after="62"/>
        <w:ind w:left="0" w:hanging="0"/>
        <w:jc w:val="both"/>
        <w:rPr>
          <w:rFonts w:ascii="Arial" w:hAnsi="Arial"/>
          <w:color w:val="000000"/>
          <w:sz w:val="19"/>
          <w:szCs w:val="19"/>
          <w:shd w:fill="auto" w:val="clear"/>
        </w:rPr>
      </w:pPr>
      <w:r>
        <w:rPr>
          <w:color w:val="000000"/>
          <w:sz w:val="19"/>
          <w:szCs w:val="19"/>
          <w:shd w:fill="auto" w:val="clear"/>
        </w:rPr>
        <w:t>O Recebimento do objeto será realizado:</w:t>
      </w:r>
    </w:p>
    <w:p>
      <w:pPr>
        <w:pStyle w:val="Corpodotexto"/>
        <w:numPr>
          <w:ilvl w:val="5"/>
          <w:numId w:val="4"/>
        </w:numPr>
        <w:spacing w:lineRule="auto" w:line="240" w:before="31" w:after="62"/>
        <w:ind w:left="0" w:hanging="0"/>
        <w:jc w:val="both"/>
        <w:rPr>
          <w:rFonts w:ascii="Arial" w:hAnsi="Arial"/>
          <w:color w:val="000000"/>
          <w:sz w:val="19"/>
          <w:szCs w:val="19"/>
          <w:shd w:fill="auto" w:val="clear"/>
        </w:rPr>
      </w:pPr>
      <w:r>
        <w:rPr>
          <w:color w:val="000000"/>
          <w:sz w:val="19"/>
          <w:szCs w:val="19"/>
          <w:shd w:fill="auto" w:val="clear"/>
        </w:rPr>
        <w:t>Provisoriamente, de forma sumária, pelo fiscal de contrato ou servidor designado pelo Chefe imediato/Secretário Municipal, com verificação posterior da conformidade do material com as exigências contratuais;</w:t>
      </w:r>
    </w:p>
    <w:p>
      <w:pPr>
        <w:pStyle w:val="Corpodotexto"/>
        <w:numPr>
          <w:ilvl w:val="5"/>
          <w:numId w:val="4"/>
        </w:numPr>
        <w:spacing w:lineRule="auto" w:line="240" w:before="31" w:after="62"/>
        <w:ind w:left="0" w:hanging="0"/>
        <w:jc w:val="both"/>
        <w:rPr>
          <w:rFonts w:ascii="Arial" w:hAnsi="Arial"/>
          <w:color w:val="000000"/>
          <w:sz w:val="19"/>
          <w:szCs w:val="19"/>
          <w:shd w:fill="auto" w:val="clear"/>
        </w:rPr>
      </w:pPr>
      <w:r>
        <w:rPr>
          <w:color w:val="000000"/>
          <w:sz w:val="19"/>
          <w:szCs w:val="19"/>
          <w:shd w:fill="auto" w:val="clear"/>
        </w:rPr>
        <w:t>Definitivamente, pelo fiscal de contrato ou servidor designado pelo Chefe imediato/Secretário Municipal, mediante termo detalhado que comprove o atendimento das exigências contratuais.</w:t>
      </w:r>
    </w:p>
    <w:p>
      <w:pPr>
        <w:pStyle w:val="Corpodotexto"/>
        <w:numPr>
          <w:ilvl w:val="2"/>
          <w:numId w:val="4"/>
        </w:numPr>
        <w:spacing w:lineRule="auto" w:line="240" w:before="31" w:after="62"/>
        <w:ind w:left="0" w:hanging="0"/>
        <w:jc w:val="both"/>
        <w:rPr>
          <w:rFonts w:ascii="Arial" w:hAnsi="Arial"/>
          <w:sz w:val="19"/>
          <w:szCs w:val="19"/>
          <w:shd w:fill="auto" w:val="clear"/>
        </w:rPr>
      </w:pPr>
      <w:r>
        <w:rPr>
          <w:b w:val="false"/>
          <w:bCs w:val="false"/>
          <w:color w:val="000000"/>
          <w:sz w:val="19"/>
          <w:szCs w:val="19"/>
          <w:shd w:fill="auto" w:val="clear"/>
        </w:rPr>
        <w:t>O objeto do contrato poderá ser rejeitado, no todo ou em parte, quando estiver em desacordo com as especificações constantes do Edital, da Proposta, do Contrato ou demais anexos, podendo ser fixado pelo fiscal do contrato, avaliado o caso concreto, um prazo para a substituição do bem, às custas do contratado, e sem prejuízo da aplicação das penalidades.</w:t>
      </w:r>
    </w:p>
    <w:p>
      <w:pPr>
        <w:pStyle w:val="Normal"/>
        <w:numPr>
          <w:ilvl w:val="2"/>
          <w:numId w:val="4"/>
        </w:numPr>
        <w:overflowPunct w:val="true"/>
        <w:spacing w:lineRule="auto" w:line="240" w:before="0" w:after="120"/>
        <w:ind w:left="0" w:hanging="0"/>
        <w:jc w:val="both"/>
        <w:textAlignment w:val="baseline"/>
        <w:rPr>
          <w:rFonts w:ascii="Arial" w:hAnsi="Arial" w:cs="ArialMT"/>
          <w:color w:val="000000"/>
          <w:sz w:val="19"/>
          <w:szCs w:val="19"/>
          <w:shd w:fill="auto" w:val="clear"/>
        </w:rPr>
      </w:pPr>
      <w:r>
        <w:rPr>
          <w:rFonts w:cs="ArialMT" w:ascii="Arial" w:hAnsi="Arial"/>
          <w:color w:val="000000"/>
          <w:sz w:val="19"/>
          <w:szCs w:val="19"/>
          <w:shd w:fill="auto" w:val="clear"/>
        </w:rPr>
        <w:t>A Divisão de Licitação será o órgão responsável pelos atos de controle e administração da Ata de Registro de Preços decorrentes desta licitação e indicará, sempre que solicitados pelos órgãos usuários, respeitada a ordem de registro e os quantitativos a serem adquiridos, os fornecedores para os quais serão emitidos os pedidos.</w:t>
      </w:r>
    </w:p>
    <w:p>
      <w:pPr>
        <w:pStyle w:val="Normal"/>
        <w:numPr>
          <w:ilvl w:val="2"/>
          <w:numId w:val="4"/>
        </w:numPr>
        <w:overflowPunct w:val="true"/>
        <w:spacing w:lineRule="auto" w:line="240" w:before="0" w:after="120"/>
        <w:ind w:left="0" w:hanging="0"/>
        <w:jc w:val="both"/>
        <w:textAlignment w:val="baseline"/>
        <w:rPr>
          <w:rFonts w:ascii="Arial" w:hAnsi="Arial"/>
          <w:color w:val="000000"/>
          <w:sz w:val="19"/>
          <w:szCs w:val="19"/>
          <w:shd w:fill="auto" w:val="clear"/>
        </w:rPr>
      </w:pPr>
      <w:r>
        <w:rPr>
          <w:rFonts w:cs="Arial-BoldMT" w:ascii="Arial" w:hAnsi="Arial"/>
          <w:b w:val="false"/>
          <w:bCs w:val="false"/>
          <w:color w:val="000000"/>
          <w:sz w:val="19"/>
          <w:szCs w:val="19"/>
          <w:shd w:fill="auto" w:val="clear"/>
        </w:rPr>
        <w:t xml:space="preserve">Fazendo-se a opção pelo recebimento provisório, que terá prazo de 5 dias, o recebimento definitivo será feito após a verificação da qualidade dos mesmos, e consequentemente aceito, no prazo de 05 dias a contar do término do recebimento provisório. </w:t>
      </w:r>
    </w:p>
    <w:p>
      <w:pPr>
        <w:pStyle w:val="Normal"/>
        <w:numPr>
          <w:ilvl w:val="2"/>
          <w:numId w:val="4"/>
        </w:numPr>
        <w:overflowPunct w:val="true"/>
        <w:spacing w:lineRule="auto" w:line="240" w:before="0" w:after="120"/>
        <w:ind w:left="0" w:hanging="0"/>
        <w:jc w:val="both"/>
        <w:textAlignment w:val="baseline"/>
        <w:rPr>
          <w:rFonts w:ascii="Arial" w:hAnsi="Arial" w:cs="ArialMT"/>
          <w:color w:val="000000"/>
          <w:sz w:val="19"/>
          <w:szCs w:val="19"/>
          <w:shd w:fill="auto" w:val="clear"/>
        </w:rPr>
      </w:pPr>
      <w:r>
        <w:rPr>
          <w:rFonts w:cs="ArialMT" w:ascii="Arial" w:hAnsi="Arial"/>
          <w:color w:val="000000"/>
          <w:sz w:val="19"/>
          <w:szCs w:val="19"/>
          <w:shd w:fill="auto" w:val="clear"/>
        </w:rPr>
        <w:t>Somente quando o primeiro licitante registrado atingir a totalidade do seu limite de fornecimento estabelecido na Ata de Registro de Preços será indicado o segundo e, assim sucessivamente, podendo ser indicados mais de um, ao mesmo tempo, quando o quantitativo do pedido de fornecimento for superior à capacidade do licitante da vez.</w:t>
      </w:r>
    </w:p>
    <w:p>
      <w:pPr>
        <w:pStyle w:val="Normal"/>
        <w:numPr>
          <w:ilvl w:val="2"/>
          <w:numId w:val="4"/>
        </w:numPr>
        <w:overflowPunct w:val="true"/>
        <w:spacing w:lineRule="auto" w:line="240" w:before="0" w:after="120"/>
        <w:ind w:left="0" w:hanging="0"/>
        <w:jc w:val="both"/>
        <w:textAlignment w:val="baseline"/>
        <w:rPr>
          <w:rFonts w:ascii="Arial" w:hAnsi="Arial" w:cs="ArialMT"/>
          <w:color w:val="000000"/>
          <w:sz w:val="19"/>
          <w:szCs w:val="19"/>
          <w:shd w:fill="auto" w:val="clear"/>
        </w:rPr>
      </w:pPr>
      <w:r>
        <w:rPr>
          <w:rFonts w:cs="ArialMT" w:ascii="Arial" w:hAnsi="Arial"/>
          <w:color w:val="000000"/>
          <w:sz w:val="19"/>
          <w:szCs w:val="19"/>
          <w:shd w:fill="auto" w:val="clear"/>
        </w:rPr>
        <w:t>A convocação dos fornecedores pela Divisão de Licitações será formalizada e conterá o endereço e o prazo máximo em que deverão comparecer para retirar o respectivo pedido.</w:t>
      </w:r>
    </w:p>
    <w:p>
      <w:pPr>
        <w:pStyle w:val="Normal"/>
        <w:numPr>
          <w:ilvl w:val="2"/>
          <w:numId w:val="4"/>
        </w:numPr>
        <w:overflowPunct w:val="true"/>
        <w:spacing w:lineRule="auto" w:line="240" w:before="0" w:after="120"/>
        <w:ind w:left="0" w:hanging="0"/>
        <w:jc w:val="both"/>
        <w:textAlignment w:val="baseline"/>
        <w:rPr>
          <w:rFonts w:ascii="Arial" w:hAnsi="Arial" w:cs="ArialMT"/>
          <w:color w:val="000000"/>
          <w:sz w:val="19"/>
          <w:szCs w:val="19"/>
          <w:shd w:fill="auto" w:val="clear"/>
        </w:rPr>
      </w:pPr>
      <w:r>
        <w:rPr>
          <w:rFonts w:cs="ArialMT" w:ascii="Arial" w:hAnsi="Arial"/>
          <w:color w:val="000000"/>
          <w:sz w:val="19"/>
          <w:szCs w:val="19"/>
          <w:shd w:fill="auto" w:val="clear"/>
        </w:rPr>
        <w:t>O fornecedor convocado na forma do subitem anterior que não comparecer, não retirar o pedido no prazo estipulado ou não cumprir as obrigações estabelecidas na Ata de Registro de Preços, estará sujeito às sanções previstas neste Edital.</w:t>
      </w:r>
    </w:p>
    <w:p>
      <w:pPr>
        <w:pStyle w:val="Corpodotexto"/>
        <w:numPr>
          <w:ilvl w:val="2"/>
          <w:numId w:val="4"/>
        </w:numPr>
        <w:spacing w:lineRule="auto" w:line="240" w:before="31" w:after="62"/>
        <w:ind w:left="0" w:hanging="0"/>
        <w:jc w:val="both"/>
        <w:rPr>
          <w:rFonts w:ascii="Arial" w:hAnsi="Arial" w:eastAsia="Arial" w:cs="Arial"/>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Quando comprovada uma dessas hipóteses, a Divisão de Licitações poderá indicar o próximo fornecedor a ser destinado o pedido, sem prejuízo da abertura de processo administrativo para aplicação de penalidades.</w:t>
      </w:r>
    </w:p>
    <w:p>
      <w:pPr>
        <w:pStyle w:val="Corpodotexto"/>
        <w:numPr>
          <w:ilvl w:val="1"/>
          <w:numId w:val="4"/>
        </w:numPr>
        <w:spacing w:lineRule="auto" w:line="240" w:before="31" w:after="62"/>
        <w:ind w:left="0" w:hanging="0"/>
        <w:jc w:val="both"/>
        <w:rPr>
          <w:rFonts w:ascii="Arial" w:hAnsi="Arial"/>
          <w:b w:val="false"/>
          <w:b w:val="false"/>
          <w:bCs w:val="false"/>
          <w:color w:val="000000"/>
          <w:sz w:val="19"/>
          <w:szCs w:val="19"/>
          <w:shd w:fill="auto" w:val="clear"/>
        </w:rPr>
      </w:pPr>
      <w:r>
        <w:rPr>
          <w:b w:val="false"/>
          <w:bCs w:val="false"/>
          <w:i w:val="false"/>
          <w:caps w:val="false"/>
          <w:smallCaps w:val="false"/>
          <w:color w:val="000000"/>
          <w:spacing w:val="0"/>
          <w:sz w:val="19"/>
          <w:szCs w:val="19"/>
          <w:shd w:fill="auto" w:val="clear"/>
        </w:rPr>
        <w:t>DAS INFRAÇÕES E SANÇÕES ADMINISTRATIVAS</w:t>
      </w:r>
    </w:p>
    <w:p>
      <w:pPr>
        <w:pStyle w:val="Normal"/>
        <w:widowControl/>
        <w:numPr>
          <w:ilvl w:val="2"/>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O licitante ou o contratado será responsabilizado administrativamente pelas seguintes infrações previstas no art. 155 da Lei n.º 14.133/2021:</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Dar causa à inexecução parcial do contrato;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Dar causa à inexecução parcial do contrato que cause grave dano à Administração, ao funcionamento dos serviços públicos ou ao interesse coletivo;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Dar causa à inexecução total do contrato;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Deixar de entregar a documentação exigida para o certame;</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Não manter a proposta, salvo em decorrência de fato superveniente devidamente justificado;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Não assinar a ata de registro de preços ou o contrato nos prazos estabelecidos neste edital ou não entregar a documentação exigida para a contratação, quando convocado dentro do prazo de validade de sua proposta;</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Ensejar o retardamento da execução ou da entrega do objeto da licitação sem motivo justificado;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Apresentar declaração ou documentação falsa exigida para o certame ou prestar declaração falsa durante a licitação ou a execução do contrato;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Fraudar a licitação ou praticar ato fraudulento na execução do contrato;</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Comportar-se de modo inidôneo ou cometer fraude de qualquer natureza;</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Praticar atos ilícitos com vistas a frustrar os objetivos da licitação;</w:t>
      </w:r>
    </w:p>
    <w:p>
      <w:pPr>
        <w:pStyle w:val="Corpodotexto"/>
        <w:widowControl/>
        <w:numPr>
          <w:ilvl w:val="4"/>
          <w:numId w:val="4"/>
        </w:numPr>
        <w:spacing w:lineRule="auto" w:line="240" w:before="31" w:after="62"/>
        <w:ind w:left="0" w:hanging="0"/>
        <w:rPr/>
      </w:pPr>
      <w:r>
        <w:rPr>
          <w:b w:val="false"/>
          <w:i w:val="false"/>
          <w:caps w:val="false"/>
          <w:smallCaps w:val="false"/>
          <w:color w:val="000000"/>
          <w:spacing w:val="0"/>
          <w:shd w:fill="auto" w:val="clear"/>
        </w:rPr>
        <w:t>Praticar ato lesivo previsto no </w:t>
      </w:r>
      <w:r>
        <w:fldChar w:fldCharType="begin"/>
      </w:r>
      <w:r>
        <w:rPr>
          <w:rStyle w:val="LinkdaInternet"/>
          <w:shd w:fill="auto" w:val="clear"/>
          <w:color w:val="000000"/>
        </w:rPr>
        <w:instrText> HYPERLINK "http://www.planalto.gov.br/ccivil_03/_Ato2011-2014/2013/Lei/L12846.htm" \l "art5"</w:instrText>
      </w:r>
      <w:r>
        <w:rPr>
          <w:rStyle w:val="LinkdaInternet"/>
          <w:shd w:fill="auto" w:val="clear"/>
          <w:color w:val="000000"/>
        </w:rPr>
        <w:fldChar w:fldCharType="separate"/>
      </w:r>
      <w:r>
        <w:rPr>
          <w:rStyle w:val="LinkdaInternet"/>
          <w:color w:val="000000"/>
          <w:shd w:fill="auto" w:val="clear"/>
        </w:rPr>
        <w:t>art. 5º da Lei nº 12.846, de 1º de agosto de 2013.</w:t>
      </w:r>
      <w:r>
        <w:rPr>
          <w:rStyle w:val="LinkdaInternet"/>
          <w:shd w:fill="auto" w:val="clear"/>
          <w:color w:val="000000"/>
        </w:rPr>
        <w:fldChar w:fldCharType="end"/>
      </w:r>
    </w:p>
    <w:p>
      <w:pPr>
        <w:pStyle w:val="Corpodotexto"/>
        <w:numPr>
          <w:ilvl w:val="2"/>
          <w:numId w:val="4"/>
        </w:numPr>
        <w:spacing w:lineRule="auto" w:line="240" w:before="31" w:after="62"/>
        <w:ind w:left="0" w:hanging="0"/>
        <w:jc w:val="both"/>
        <w:rPr>
          <w:rFonts w:ascii="Arial" w:hAnsi="Arial"/>
          <w:sz w:val="19"/>
          <w:szCs w:val="19"/>
          <w:shd w:fill="auto" w:val="clear"/>
        </w:rPr>
      </w:pPr>
      <w:r>
        <w:rPr>
          <w:b w:val="false"/>
          <w:i w:val="false"/>
          <w:caps w:val="false"/>
          <w:smallCaps w:val="false"/>
          <w:color w:val="000000"/>
          <w:spacing w:val="0"/>
          <w:sz w:val="19"/>
          <w:szCs w:val="19"/>
          <w:shd w:fill="auto" w:val="clear"/>
        </w:rPr>
        <w:t>Serão aplicadas ao responsável pelas infrações administrativas previstas no art. 155 da Lei n.º 14.133/2021 as seguintes sanções:</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Advertência:</w:t>
      </w:r>
      <w:r>
        <w:rPr>
          <w:b w:val="false"/>
          <w:i w:val="false"/>
          <w:caps w:val="false"/>
          <w:smallCaps w:val="false"/>
          <w:color w:val="000000"/>
          <w:spacing w:val="0"/>
          <w:sz w:val="19"/>
          <w:szCs w:val="19"/>
          <w:shd w:fill="auto" w:val="clear"/>
        </w:rPr>
        <w:t xml:space="preserve"> </w:t>
      </w:r>
    </w:p>
    <w:p>
      <w:pPr>
        <w:pStyle w:val="Corpodotexto"/>
        <w:widowControl/>
        <w:numPr>
          <w:ilvl w:val="0"/>
          <w:numId w:val="0"/>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 Aplicada exclusivamente pela infração administrativa prevista no inciso I do caput do art. 155 da Lei n.º 14.133/2021, quando não se justificar a imposição de penalidade mais grave.</w:t>
      </w:r>
    </w:p>
    <w:p>
      <w:pPr>
        <w:pStyle w:val="Corpodotexto"/>
        <w:widowControl/>
        <w:numPr>
          <w:ilvl w:val="4"/>
          <w:numId w:val="4"/>
        </w:numPr>
        <w:spacing w:lineRule="auto" w:line="240" w:before="31" w:after="62"/>
        <w:ind w:left="0" w:hanging="0"/>
        <w:rPr>
          <w:rFonts w:ascii="Arial" w:hAnsi="Arial"/>
          <w:b w:val="false"/>
          <w:b w:val="false"/>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Multa</w:t>
      </w:r>
      <w:r>
        <w:rPr>
          <w:b w:val="false"/>
          <w:i w:val="false"/>
          <w:caps w:val="false"/>
          <w:smallCaps w:val="false"/>
          <w:color w:val="000000"/>
          <w:spacing w:val="0"/>
          <w:sz w:val="19"/>
          <w:szCs w:val="19"/>
          <w:shd w:fill="auto" w:val="clear"/>
        </w:rPr>
        <w:t>, sendo:</w:t>
      </w:r>
    </w:p>
    <w:p>
      <w:pPr>
        <w:pStyle w:val="Normal"/>
        <w:widowControl/>
        <w:numPr>
          <w:ilvl w:val="0"/>
          <w:numId w:val="0"/>
        </w:numPr>
        <w:spacing w:lineRule="auto" w:line="240" w:before="31" w:after="62"/>
        <w:ind w:left="0"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ascii="Arial" w:hAnsi="Arial"/>
          <w:b w:val="false"/>
          <w:bCs w:val="false"/>
          <w:i w:val="false"/>
          <w:caps w:val="false"/>
          <w:smallCaps w:val="false"/>
          <w:color w:val="000000"/>
          <w:spacing w:val="0"/>
          <w:sz w:val="19"/>
          <w:szCs w:val="19"/>
          <w:shd w:fill="auto" w:val="clear"/>
        </w:rPr>
        <w:t>- Compensatória de 20% sobre o valor total do contrato, no caso de inexecução total do objeto.</w:t>
      </w:r>
    </w:p>
    <w:p>
      <w:pPr>
        <w:pStyle w:val="Corpodotexto"/>
        <w:widowControl/>
        <w:numPr>
          <w:ilvl w:val="0"/>
          <w:numId w:val="0"/>
        </w:numPr>
        <w:spacing w:lineRule="auto" w:line="240" w:before="31" w:after="62"/>
        <w:ind w:left="0"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Compensatória de 10% sobre o valor total do contrato, no caso de inexecução parcial do objeto.</w:t>
      </w:r>
    </w:p>
    <w:p>
      <w:pPr>
        <w:pStyle w:val="Corpodotexto"/>
        <w:widowControl/>
        <w:numPr>
          <w:ilvl w:val="0"/>
          <w:numId w:val="0"/>
        </w:numPr>
        <w:tabs>
          <w:tab w:val="clear" w:pos="709"/>
          <w:tab w:val="left" w:pos="230" w:leader="none"/>
        </w:tabs>
        <w:spacing w:lineRule="auto" w:line="240" w:before="31" w:after="62"/>
        <w:ind w:left="0"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Moratória de 0,5% por dia sobre o valor total do contrato, limitado ao máximo de 10% do valor da Ata de Registro de Preços licitada, pelo atraso ou demora injustificados para a entrega dos itens/lotes ofertados. A aplicação de multa de mora não impedirá que a Administração a converta em compensatória e promova a extinção unilateral do contrato com a aplicação cumulada de outras sanções previstas nesta Lei.</w:t>
      </w:r>
    </w:p>
    <w:p>
      <w:pPr>
        <w:pStyle w:val="Corpodotexto"/>
        <w:widowControl/>
        <w:numPr>
          <w:ilvl w:val="4"/>
          <w:numId w:val="4"/>
        </w:numPr>
        <w:spacing w:lineRule="auto" w:line="240" w:before="31" w:after="62"/>
        <w:ind w:left="0" w:hanging="0"/>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Impedimento de licitar e contratar:</w:t>
      </w:r>
    </w:p>
    <w:p>
      <w:pPr>
        <w:pStyle w:val="Corpodotexto"/>
        <w:widowControl/>
        <w:numPr>
          <w:ilvl w:val="0"/>
          <w:numId w:val="0"/>
        </w:numPr>
        <w:spacing w:lineRule="auto" w:line="240" w:before="31" w:after="62"/>
        <w:ind w:left="0"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cs="ArialMT"/>
          <w:b/>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pPr>
        <w:pStyle w:val="Corpodotexto"/>
        <w:widowControl/>
        <w:numPr>
          <w:ilvl w:val="4"/>
          <w:numId w:val="4"/>
        </w:numPr>
        <w:spacing w:lineRule="auto" w:line="240" w:before="31" w:after="62"/>
        <w:ind w:left="0" w:hanging="0"/>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Declaração de inidoneidade para licitar ou contratar:</w:t>
      </w:r>
    </w:p>
    <w:p>
      <w:pPr>
        <w:pStyle w:val="Corpodotexto"/>
        <w:widowControl/>
        <w:numPr>
          <w:ilvl w:val="0"/>
          <w:numId w:val="0"/>
        </w:numPr>
        <w:spacing w:lineRule="auto" w:line="240" w:before="31" w:after="62"/>
        <w:ind w:left="0" w:right="0" w:hanging="0"/>
        <w:jc w:val="both"/>
        <w:rPr>
          <w:rFonts w:ascii="Arial" w:hAnsi="Arial"/>
          <w:color w:val="000000"/>
          <w:sz w:val="19"/>
          <w:szCs w:val="19"/>
          <w:shd w:fill="auto" w:val="clear"/>
        </w:rPr>
      </w:pPr>
      <w:r>
        <w:rPr>
          <w:rFonts w:cs="ArialMT"/>
          <w:b/>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de impedimento de licitar e contratar disposto no item “14.5.2, inciso III” e impedirá o responsável de licitar ou contratar no âmbito da Administração Pública direta e indireta de todos os entes federativos, pelo prazo mínimo de 3 (três) anos e máximo de 6 (seis) anos</w:t>
      </w:r>
      <w:r>
        <w:rPr>
          <w:b w:val="false"/>
          <w:bCs w:val="false"/>
          <w:i w:val="false"/>
          <w:caps w:val="false"/>
          <w:smallCaps w:val="false"/>
          <w:color w:val="000000"/>
          <w:spacing w:val="0"/>
          <w:sz w:val="19"/>
          <w:szCs w:val="19"/>
          <w:shd w:fill="auto" w:val="clear"/>
        </w:rPr>
        <w:t xml:space="preserve">. </w:t>
      </w:r>
    </w:p>
    <w:p>
      <w:pPr>
        <w:pStyle w:val="Corpodotexto"/>
        <w:widowControl/>
        <w:numPr>
          <w:ilvl w:val="2"/>
          <w:numId w:val="4"/>
        </w:numPr>
        <w:spacing w:lineRule="auto" w:line="240" w:before="3"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 xml:space="preserve">As sanções previstas nos “incisos I, III e IV do </w:t>
      </w:r>
      <w:r>
        <w:rPr>
          <w:rFonts w:cs="ArialMT"/>
          <w:b w:val="false"/>
          <w:bCs/>
          <w:i w:val="false"/>
          <w:caps w:val="false"/>
          <w:smallCaps w:val="false"/>
          <w:color w:val="000000"/>
          <w:spacing w:val="0"/>
          <w:sz w:val="19"/>
          <w:szCs w:val="19"/>
          <w:shd w:fill="auto" w:val="clear"/>
        </w:rPr>
        <w:t>caput do art. 156 da Lei n.º 14.133/2021,</w:t>
      </w:r>
      <w:r>
        <w:rPr>
          <w:b w:val="false"/>
          <w:i w:val="false"/>
          <w:caps w:val="false"/>
          <w:smallCaps w:val="false"/>
          <w:color w:val="000000"/>
          <w:spacing w:val="0"/>
          <w:sz w:val="19"/>
          <w:szCs w:val="19"/>
          <w:shd w:fill="auto" w:val="clear"/>
        </w:rPr>
        <w:t xml:space="preserve"> poderão ser aplicadas cumulativamente com as multas previstas no inciso II do mesmo artigo.</w:t>
      </w:r>
    </w:p>
    <w:p>
      <w:pPr>
        <w:pStyle w:val="Corpodotexto"/>
        <w:widowControl/>
        <w:numPr>
          <w:ilvl w:val="2"/>
          <w:numId w:val="4"/>
        </w:numPr>
        <w:spacing w:lineRule="auto" w:line="240" w:before="3" w:after="62"/>
        <w:ind w:left="0" w:hanging="0"/>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Corpodotexto"/>
        <w:widowControl/>
        <w:numPr>
          <w:ilvl w:val="2"/>
          <w:numId w:val="4"/>
        </w:numPr>
        <w:spacing w:lineRule="auto" w:line="240" w:before="3" w:after="62"/>
        <w:ind w:left="0" w:hanging="0"/>
        <w:rPr>
          <w:rFonts w:ascii="Arial" w:hAnsi="Arial"/>
          <w:b w:val="false"/>
          <w:b w:val="false"/>
          <w:i w:val="false"/>
          <w:i w:val="false"/>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 xml:space="preserve"> </w:t>
      </w:r>
      <w:r>
        <w:rPr>
          <w:rFonts w:cs="Arial-ItalicMT"/>
          <w:b w:val="false"/>
          <w:i w:val="false"/>
          <w:iCs/>
          <w:caps w:val="false"/>
          <w:smallCaps w:val="false"/>
          <w:color w:val="000000"/>
          <w:spacing w:val="0"/>
          <w:sz w:val="19"/>
          <w:szCs w:val="19"/>
          <w:shd w:fill="auto" w:val="clear"/>
        </w:rPr>
        <w:t>A aplicação das sanções previstas neste item não exclui, em hipótese alguma, a obrigação de reparação integral do dano causado à Administração Pública.</w:t>
      </w:r>
    </w:p>
    <w:p>
      <w:pPr>
        <w:pStyle w:val="Corpodotexto"/>
        <w:widowControl/>
        <w:numPr>
          <w:ilvl w:val="1"/>
          <w:numId w:val="4"/>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DA EXTINÇÃO CONTRATUAL</w:t>
      </w:r>
    </w:p>
    <w:p>
      <w:pPr>
        <w:pStyle w:val="Corpodotexto"/>
        <w:widowControl/>
        <w:numPr>
          <w:ilvl w:val="2"/>
          <w:numId w:val="4"/>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Constituirão motivos para extinção do contrato, a qual deverá ser formalmente motivada nos autos do processo, assegurados o contraditório e a ampla defesa, as seguintes situações: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 Não cumprimento ou cumprimento irregular de normas editalícias ou de cláusulas contratuais, de especificações, de projetos ou de prazos;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 Desatendimento das determinações regulares emitidas pela autoridade designada para acompanhar e fiscalizar sua execução ou por autoridade superior;</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III. Alteração social ou modificação da finalidade ou da estrutura da empresa que restrinja sua capacidade de concluir o contrato;</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IV. Decretação de falência ou de insolvência civil, dissolução da sociedade ou falecimento do contratado;</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 Caso fortuito ou força maior, regularmente comprovados, impeditivos da execução do contrato;</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VI. Atraso na obtenção da licença ambiental, ou impossibilidade de obtê-la, ou alteração substancial do anteprojeto que dela resultar, ainda que obtida no prazo previsto;</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VII. Atraso na liberação das áreas sujeitas a desapropriação, a desocupação ou a servidão administrativa, ou impossibilidade de liberação dessas áreas;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VIII. Razões de interesse público, justificadas pela autoridade máxima do órgão ou da entidade contratante;</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IX. Não cumprimento das obrigações relativas à reserva de cargos prevista em lei, bem como em outras normas específicas, para pessoa com deficiência, para reabilitado da Previdência Social ou para aprendiz.</w:t>
      </w:r>
    </w:p>
    <w:p>
      <w:pPr>
        <w:pStyle w:val="Corpodotexto"/>
        <w:widowControl/>
        <w:numPr>
          <w:ilvl w:val="0"/>
          <w:numId w:val="0"/>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bCs/>
          <w:i w:val="false"/>
          <w:iCs/>
          <w:caps w:val="false"/>
          <w:smallCaps w:val="false"/>
          <w:color w:val="000000"/>
          <w:spacing w:val="0"/>
          <w:sz w:val="19"/>
          <w:szCs w:val="19"/>
          <w:shd w:fill="auto" w:val="clear"/>
        </w:rPr>
        <w:t>14.6.2.</w:t>
      </w:r>
      <w:r>
        <w:rPr>
          <w:rFonts w:cs="Arial-ItalicMT"/>
          <w:b w:val="false"/>
          <w:i w:val="false"/>
          <w:iCs/>
          <w:caps w:val="false"/>
          <w:smallCaps w:val="false"/>
          <w:color w:val="000000"/>
          <w:spacing w:val="0"/>
          <w:sz w:val="19"/>
          <w:szCs w:val="19"/>
          <w:shd w:fill="auto" w:val="clear"/>
        </w:rPr>
        <w:t>A análise dos critérios para verificação de ocorrência dos motivos para extinção contratual previstos observarão o Decreto Municipal n.º 31/2023, bem como as disposições contidas no Decreto Municipal nº 141/2020.</w:t>
      </w:r>
    </w:p>
    <w:p>
      <w:pPr>
        <w:pStyle w:val="Corpodotexto"/>
        <w:widowControl/>
        <w:numPr>
          <w:ilvl w:val="0"/>
          <w:numId w:val="0"/>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bCs/>
          <w:i w:val="false"/>
          <w:iCs/>
          <w:caps w:val="false"/>
          <w:smallCaps w:val="false"/>
          <w:color w:val="000000"/>
          <w:spacing w:val="0"/>
          <w:sz w:val="19"/>
          <w:szCs w:val="19"/>
          <w:shd w:fill="auto" w:val="clear"/>
        </w:rPr>
        <w:t>14.6.3.</w:t>
      </w:r>
      <w:r>
        <w:rPr>
          <w:rFonts w:cs="Arial-ItalicMT"/>
          <w:b w:val="false"/>
          <w:i w:val="false"/>
          <w:iCs/>
          <w:caps w:val="false"/>
          <w:smallCaps w:val="false"/>
          <w:color w:val="000000"/>
          <w:spacing w:val="0"/>
          <w:sz w:val="19"/>
          <w:szCs w:val="19"/>
          <w:shd w:fill="auto" w:val="clear"/>
        </w:rPr>
        <w:t xml:space="preserve"> O contratado terá direito à extinção do contrato nas seguintes hipóteses: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 Supressão, por parte da Administração, de obras, serviços ou compras que acarrete modificação do valor inicial do contrato além do limite permitido no art. 125 desta Lei;</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 Suspensão de execução do contrato, por ordem escrita da Administração, por prazo superior a 3 (três) meses;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III. Repetidas suspensões que totalizem 90 (noventa) dias úteis, independentemente do pagamento obrigatório de indenização pelas sucessivas e contratualmente imprevistas desmobilizações e mobilizações e outras previstas;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IV. Atraso superior a 2 (dois) meses, contado da emissão da nota fiscal, dos pagamentos ou de parcelas de pagamentos devidos pela Administração por despesas de obras, serviços ou fornecimentos;</w:t>
      </w:r>
    </w:p>
    <w:p>
      <w:pPr>
        <w:pStyle w:val="Corpodotexto"/>
        <w:widowControl/>
        <w:numPr>
          <w:ilvl w:val="0"/>
          <w:numId w:val="0"/>
        </w:numPr>
        <w:spacing w:lineRule="auto" w:line="240" w:before="3" w:after="62"/>
        <w:ind w:left="0"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pPr>
        <w:pStyle w:val="Corpodotexto"/>
        <w:widowControl/>
        <w:numPr>
          <w:ilvl w:val="0"/>
          <w:numId w:val="0"/>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bCs/>
          <w:i w:val="false"/>
          <w:iCs/>
          <w:caps w:val="false"/>
          <w:smallCaps w:val="false"/>
          <w:color w:val="000000"/>
          <w:spacing w:val="0"/>
          <w:sz w:val="19"/>
          <w:szCs w:val="19"/>
          <w:shd w:fill="auto" w:val="clear"/>
        </w:rPr>
        <w:t>14.6.4.</w:t>
      </w:r>
      <w:r>
        <w:rPr>
          <w:rFonts w:cs="Arial-ItalicMT"/>
          <w:b w:val="false"/>
          <w:i w:val="false"/>
          <w:iCs/>
          <w:caps w:val="false"/>
          <w:smallCaps w:val="false"/>
          <w:color w:val="000000"/>
          <w:spacing w:val="0"/>
          <w:sz w:val="19"/>
          <w:szCs w:val="19"/>
          <w:shd w:fill="auto" w:val="clear"/>
        </w:rPr>
        <w:t xml:space="preserve"> Decorrido atraso na execução do objeto, de período igual ou superior a 1/3 (um terço) do prazo de execução, sem manifestação da CONTRATADA, estará caracterizada a inadimplência da mesma ficando assegurado ao CONTRATANTE o direito de tomar as medidas cabíveis para a extinção Contratual e a aplicação da multa.</w:t>
      </w:r>
    </w:p>
    <w:p>
      <w:pPr>
        <w:pStyle w:val="Corpodotexto"/>
        <w:widowControl/>
        <w:numPr>
          <w:ilvl w:val="0"/>
          <w:numId w:val="0"/>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bCs/>
          <w:i w:val="false"/>
          <w:iCs/>
          <w:caps w:val="false"/>
          <w:smallCaps w:val="false"/>
          <w:color w:val="000000"/>
          <w:spacing w:val="0"/>
          <w:sz w:val="19"/>
          <w:szCs w:val="19"/>
          <w:shd w:fill="auto" w:val="clear"/>
        </w:rPr>
        <w:t xml:space="preserve">14.6.5. </w:t>
      </w:r>
      <w:r>
        <w:rPr>
          <w:rFonts w:cs="Arial-ItalicMT"/>
          <w:b w:val="false"/>
          <w:i w:val="false"/>
          <w:iCs/>
          <w:caps w:val="false"/>
          <w:smallCaps w:val="false"/>
          <w:color w:val="000000"/>
          <w:spacing w:val="0"/>
          <w:sz w:val="19"/>
          <w:szCs w:val="19"/>
          <w:shd w:fill="auto" w:val="clear"/>
        </w:rPr>
        <w:t>A extinção do Contrato, quando motivada por qualquer dos itens acima relacionados, implicará a apuração de perdas e danos, sem embargos da aplicação das demais penalidades legais cabíveis.</w:t>
      </w:r>
    </w:p>
    <w:p>
      <w:pPr>
        <w:pStyle w:val="Corpodotexto"/>
        <w:widowControl/>
        <w:numPr>
          <w:ilvl w:val="0"/>
          <w:numId w:val="0"/>
        </w:numPr>
        <w:spacing w:lineRule="auto" w:line="240" w:before="3" w:after="62"/>
        <w:ind w:left="0" w:hanging="0"/>
        <w:rPr>
          <w:rFonts w:ascii="Arial" w:hAnsi="Arial" w:cs="Arial-ItalicMT"/>
          <w:b w:val="false"/>
          <w:b w:val="false"/>
          <w:i w:val="false"/>
          <w:i w:val="false"/>
          <w:iCs/>
          <w:caps w:val="false"/>
          <w:smallCaps w:val="false"/>
          <w:color w:val="000000"/>
          <w:spacing w:val="0"/>
          <w:sz w:val="19"/>
          <w:szCs w:val="19"/>
          <w:shd w:fill="auto" w:val="clear"/>
        </w:rPr>
      </w:pPr>
      <w:r>
        <w:rPr>
          <w:rFonts w:cs="Arial-ItalicMT"/>
          <w:b/>
          <w:bCs/>
          <w:i w:val="false"/>
          <w:iCs/>
          <w:caps w:val="false"/>
          <w:smallCaps w:val="false"/>
          <w:color w:val="000000"/>
          <w:spacing w:val="0"/>
          <w:sz w:val="19"/>
          <w:szCs w:val="19"/>
          <w:u w:val="none"/>
          <w:shd w:fill="auto" w:val="clear"/>
        </w:rPr>
        <w:t>14.6.6.</w:t>
      </w:r>
      <w:r>
        <w:rPr>
          <w:rFonts w:cs="Arial-ItalicMT"/>
          <w:b w:val="false"/>
          <w:bCs w:val="false"/>
          <w:i w:val="false"/>
          <w:iCs/>
          <w:caps w:val="false"/>
          <w:smallCaps w:val="false"/>
          <w:color w:val="000000"/>
          <w:spacing w:val="0"/>
          <w:sz w:val="19"/>
          <w:szCs w:val="19"/>
          <w:u w:val="none"/>
          <w:shd w:fill="auto" w:val="clear"/>
        </w:rPr>
        <w:t xml:space="preserve"> Declarada a extinção do Contrato, que vigorará a partir da data da sua declaração, a CONTRATADA se obriga, expressamente, como ora o faz, a entregar os serviços já concluídos, não criando dificuldades de qualquer natureza.</w:t>
      </w:r>
    </w:p>
    <w:p>
      <w:pPr>
        <w:pStyle w:val="Normal"/>
        <w:overflowPunct w:val="true"/>
        <w:spacing w:lineRule="auto" w:line="240" w:before="0" w:after="120"/>
        <w:textAlignment w:val="baseline"/>
        <w:rPr>
          <w:rFonts w:ascii="Arial" w:hAnsi="Arial"/>
          <w:color w:val="000000"/>
          <w:sz w:val="19"/>
          <w:szCs w:val="19"/>
        </w:rPr>
      </w:pPr>
      <w:r>
        <w:rPr>
          <w:rFonts w:ascii="Arial" w:hAnsi="Arial"/>
          <w:color w:val="000000"/>
          <w:sz w:val="19"/>
          <w:szCs w:val="19"/>
        </w:rPr>
      </w:r>
    </w:p>
    <w:p>
      <w:pPr>
        <w:pStyle w:val="Ttulo1"/>
        <w:numPr>
          <w:ilvl w:val="0"/>
          <w:numId w:val="4"/>
        </w:numPr>
        <w:shd w:val="clear" w:fill="EEEEEE"/>
        <w:overflowPunct w:val="true"/>
        <w:spacing w:lineRule="auto" w:line="240" w:before="31" w:after="62"/>
        <w:jc w:val="center"/>
        <w:textAlignment w:val="baseline"/>
        <w:rPr>
          <w:rFonts w:ascii="Arial" w:hAnsi="Arial"/>
          <w:color w:val="000000"/>
          <w:sz w:val="19"/>
          <w:szCs w:val="19"/>
          <w:shd w:fill="auto" w:val="clear"/>
        </w:rPr>
      </w:pPr>
      <w:r>
        <w:rPr>
          <w:rFonts w:cs="ArialMT"/>
          <w:color w:val="000000"/>
          <w:sz w:val="19"/>
          <w:szCs w:val="19"/>
          <w:shd w:fill="auto" w:val="clear"/>
        </w:rPr>
        <w:t xml:space="preserve">DA </w:t>
      </w:r>
      <w:r>
        <w:rPr>
          <w:rFonts w:eastAsia="MS Mincho;ＭＳ 明朝" w:cs="ArialMT"/>
          <w:b/>
          <w:color w:val="000000"/>
          <w:sz w:val="19"/>
          <w:szCs w:val="19"/>
          <w:shd w:fill="auto" w:val="clear"/>
          <w:lang w:val="pt-BR" w:bidi="ar-SA"/>
        </w:rPr>
        <w:t>FRAUDE E CORRUPÇÃO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Caso a licitante, em qualquer das fases da licitação e/ou execução de contrato firmado com este ente público, praticar qualquer ato lesivo à Administração Pública elencado no art. 5º da Lei Federal 12.846/2013 e Decreto Federal 11.129/2022 ficará submetido à responsabilização objetiva administrativa regida pelo Decreto Municipal 141/2020 e sanções descritas no art. 6º da Lei Federal 12.846/2013, sem prejuízo da responsabilidade penal. Para o disposto neste item, definem-se as seguintes práticas:</w:t>
      </w:r>
    </w:p>
    <w:p>
      <w:pPr>
        <w:pStyle w:val="Corpodotexto"/>
        <w:numPr>
          <w:ilvl w:val="5"/>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corrupta: oferecer, dar, receber ou solicitar, direta ou indiretamente, qualquer vantagem com o objetivo de influenciar a ação de servidor público no processo de licitação ou na execução de contrato; </w:t>
      </w:r>
    </w:p>
    <w:p>
      <w:pPr>
        <w:pStyle w:val="Corpodotexto"/>
        <w:numPr>
          <w:ilvl w:val="5"/>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fraudulenta: a falsificação ou omissão dos fatos, com o objetivo de influenciar o processo de licitação ou de execução de contrato; </w:t>
      </w:r>
    </w:p>
    <w:p>
      <w:pPr>
        <w:pStyle w:val="Corpodotexto"/>
        <w:numPr>
          <w:ilvl w:val="5"/>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colusiva: esquematizar ou estabelecer um acordo entre dois ou mais licitantes, com ou sem o conhecimento de representantes ou prepostos do órgão licitador, visando estabelecer preços em níveis artificiais e não-competitivos; </w:t>
      </w:r>
    </w:p>
    <w:p>
      <w:pPr>
        <w:pStyle w:val="Corpodotexto"/>
        <w:numPr>
          <w:ilvl w:val="5"/>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coercitiva: causar dano ou ameaçar causar dano, direta ou indiretamente, às pessoas ou sua propriedade, visando influenciar sua participação em um processo licitatório ou afetar a execução do contrato;</w:t>
      </w:r>
    </w:p>
    <w:p>
      <w:pPr>
        <w:pStyle w:val="Corpodotexto"/>
        <w:numPr>
          <w:ilvl w:val="5"/>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Se os atos previstos como infrações administrativas à Lei de Licitações n.º 14.133/2021 ou a outras normas de licitações e contratos da Administração Pública forem tipificados como atos lesivos na forma da Lei Federal 12.846/13, poderão ser apurados e julgados conjuntamente, no mesmo processo aplicando-se o rito procedimental do Decreto Municipal 141/2020.</w:t>
      </w:r>
    </w:p>
    <w:p>
      <w:pPr>
        <w:pStyle w:val="Corpodotexto"/>
        <w:numPr>
          <w:ilvl w:val="0"/>
          <w:numId w:val="0"/>
        </w:numPr>
        <w:overflowPunct w:val="true"/>
        <w:spacing w:lineRule="auto" w:line="240" w:before="31" w:after="62"/>
        <w:ind w:left="0" w:hanging="0"/>
        <w:jc w:val="both"/>
        <w:textAlignment w:val="baseline"/>
        <w:rPr>
          <w:rFonts w:ascii="Arial" w:hAnsi="Arial" w:eastAsia="MS Mincho;ＭＳ 明朝" w:cs="ArialMT"/>
          <w:b w:val="false"/>
          <w:b w:val="false"/>
          <w:bCs w:val="false"/>
          <w:color w:val="C9211E"/>
          <w:sz w:val="19"/>
          <w:szCs w:val="19"/>
          <w:shd w:fill="FFFF00" w:val="clear"/>
          <w:lang w:val="pt-BR" w:bidi="ar-SA"/>
        </w:rPr>
      </w:pPr>
      <w:r>
        <w:rPr>
          <w:rFonts w:eastAsia="MS Mincho;ＭＳ 明朝" w:cs="ArialMT"/>
          <w:b w:val="false"/>
          <w:bCs w:val="false"/>
          <w:color w:val="C9211E"/>
          <w:sz w:val="19"/>
          <w:szCs w:val="19"/>
          <w:shd w:fill="FFFF00" w:val="clear"/>
          <w:lang w:val="pt-BR" w:bidi="ar-SA"/>
        </w:rPr>
      </w:r>
    </w:p>
    <w:p>
      <w:pPr>
        <w:pStyle w:val="Ttulo1"/>
        <w:numPr>
          <w:ilvl w:val="0"/>
          <w:numId w:val="4"/>
        </w:numPr>
        <w:shd w:val="clear" w:fill="EEEEEE"/>
        <w:overflowPunct w:val="true"/>
        <w:spacing w:lineRule="auto" w:line="240" w:before="31" w:after="62"/>
        <w:jc w:val="center"/>
        <w:textAlignment w:val="baseline"/>
        <w:rPr>
          <w:rFonts w:ascii="Arial" w:hAnsi="Arial" w:eastAsia="MS Mincho;ＭＳ 明朝" w:cs="ArialMT"/>
          <w:b/>
          <w:b/>
          <w:color w:val="000000"/>
          <w:sz w:val="19"/>
          <w:szCs w:val="19"/>
          <w:lang w:val="pt-BR" w:bidi="ar-SA"/>
        </w:rPr>
      </w:pPr>
      <w:r>
        <w:rPr>
          <w:rFonts w:eastAsia="MS Mincho;ＭＳ 明朝" w:cs="ArialMT"/>
          <w:b/>
          <w:color w:val="000000"/>
          <w:sz w:val="19"/>
          <w:szCs w:val="19"/>
          <w:lang w:val="pt-BR" w:bidi="ar-SA"/>
        </w:rPr>
        <w:t>DAS DISPOSIÇÕES FINAIS</w:t>
      </w:r>
    </w:p>
    <w:p>
      <w:pPr>
        <w:pStyle w:val="Normal"/>
        <w:numPr>
          <w:ilvl w:val="1"/>
          <w:numId w:val="4"/>
        </w:numPr>
        <w:overflowPunct w:val="true"/>
        <w:jc w:val="both"/>
        <w:textAlignment w:val="baseline"/>
        <w:rPr>
          <w:rFonts w:ascii="Arial" w:hAnsi="Arial"/>
          <w:b w:val="false"/>
          <w:b w:val="false"/>
          <w:bCs w:val="false"/>
          <w:sz w:val="19"/>
          <w:szCs w:val="19"/>
          <w:shd w:fill="auto" w:val="clear"/>
        </w:rPr>
      </w:pPr>
      <w:r>
        <w:rPr>
          <w:rFonts w:ascii="Arial" w:hAnsi="Arial"/>
          <w:b w:val="false"/>
          <w:bCs w:val="false"/>
          <w:sz w:val="19"/>
          <w:szCs w:val="19"/>
          <w:shd w:fill="auto" w:val="clear"/>
        </w:rPr>
        <w:t>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na extinção do contrato ou cancelamento do pedido de compra, sem prejuízo das demais sanções cabíveis.</w:t>
      </w:r>
    </w:p>
    <w:p>
      <w:pPr>
        <w:pStyle w:val="Normal"/>
        <w:numPr>
          <w:ilvl w:val="1"/>
          <w:numId w:val="4"/>
        </w:numPr>
        <w:overflowPunct w:val="true"/>
        <w:spacing w:lineRule="auto" w:line="240" w:before="31" w:after="62"/>
        <w:jc w:val="both"/>
        <w:textAlignment w:val="baseline"/>
        <w:rPr>
          <w:rFonts w:ascii="Arial" w:hAnsi="Arial"/>
          <w:color w:val="000000"/>
          <w:sz w:val="19"/>
          <w:szCs w:val="19"/>
          <w:shd w:fill="auto" w:val="clear"/>
        </w:rPr>
      </w:pPr>
      <w:r>
        <w:rPr>
          <w:rFonts w:cs="Verdana" w:ascii="Arial" w:hAnsi="Arial"/>
          <w:color w:val="000000"/>
          <w:sz w:val="19"/>
          <w:szCs w:val="19"/>
          <w:shd w:fill="auto" w:val="clear"/>
        </w:rPr>
        <w:t xml:space="preserve">É facultado ao pregoeiro ou à autoridade a ele superior, em qualquer fase da licitação, promover diligências com vistas a esclarecer ou a complementar a instrução do processo, assim como, submeter documentos que considerar de caráter técnico a análise do corpo técnico da divisão responsável. </w:t>
      </w:r>
    </w:p>
    <w:p>
      <w:pPr>
        <w:pStyle w:val="Normal"/>
        <w:numPr>
          <w:ilvl w:val="1"/>
          <w:numId w:val="4"/>
        </w:numPr>
        <w:overflowPunct w:val="true"/>
        <w:spacing w:lineRule="auto" w:line="240" w:before="31" w:after="62"/>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Quaisquer informações, esclarecimentos ou dados fornecidos verbalmente por servidores do Município, inclusive membros da Comissão Especial do Pregão, não serão considerados nem aceitos como argumentos para impugnações, reclamações, reivindicações, etc, por parte dos proponentes. Qualquer informação ou esclarecimento deverá ser solicitado por escrito através do endereço constante no preâmbulo deste Edital.</w:t>
      </w:r>
    </w:p>
    <w:p>
      <w:pPr>
        <w:pStyle w:val="Normal"/>
        <w:numPr>
          <w:ilvl w:val="1"/>
          <w:numId w:val="4"/>
        </w:numPr>
        <w:overflowPunct w:val="tru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t>A apresentação da proposta pela licitante, implica aceitação deste edital, bem como das normas legais que regem a matéria e, se porventura a licitante for declarada vencedora, ao cumprimento de todas as disposições contidas nesta licitação.</w:t>
      </w:r>
    </w:p>
    <w:p>
      <w:pPr>
        <w:pStyle w:val="Normal"/>
        <w:numPr>
          <w:ilvl w:val="1"/>
          <w:numId w:val="4"/>
        </w:numPr>
        <w:overflowPunct w:val="tru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t>O pregoeiro poderá solicitar Parecer Técnico da área requisitante, sobre a Proposta de Preços apresentada pela licitante classificada, em relação à conformidade com as condições definidas no edital e seus anexos. Assim como para sanar dúvidas, erros ou falhas quanto ao julgamento das propostas e na verificação da documentação de habilitação, de maneira que não altere a substância das propostas, dos documentos e sua validade jurídica, mediante despacho fundamentado, registrado em ata específica e acessível a todos, atribuindo-lhes validade e eficácia para fins de classificação e habilitação.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Será divulgada ata da sessão pública no sistema eletrônico.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Os licitantes assumem todos os custos de preparação e apresentação de suas propostas e a Administração não será, em nenhum caso, responsável por esses custos, independentemente da condução ou do resultado do processo licitatório.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Na contagem dos prazos estabelecidos neste Edital e seus Anexos, excluir-se-á o dia do início e incluir-se-á o do vencimento. Só se iniciam e vencem os prazos em dias de expediente na Administração.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O desatendimento de exigências formais não essenciais não importará o afastamento do licitante, desde que seja possível o aproveitamento do ato, observados os princípios da isonomia e do interesse público.</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Em caso de divergência entre disposições deste Edital e de seus anexos ou demais peças que compõem o processo, prevalecerá as deste Edital.</w:t>
      </w:r>
    </w:p>
    <w:p>
      <w:pPr>
        <w:pStyle w:val="Normal"/>
        <w:numPr>
          <w:ilvl w:val="1"/>
          <w:numId w:val="4"/>
        </w:numPr>
        <w:overflowPunct w:val="true"/>
        <w:spacing w:lineRule="auto" w:line="240" w:before="31" w:after="62"/>
        <w:ind w:left="0" w:right="0" w:hanging="0"/>
        <w:jc w:val="both"/>
        <w:textAlignment w:val="baseline"/>
        <w:rPr>
          <w:rFonts w:ascii="Arial" w:hAnsi="Arial" w:cs="Verdana"/>
          <w:i w:val="false"/>
          <w:i w:val="false"/>
          <w:caps w:val="false"/>
          <w:smallCaps w:val="false"/>
          <w:color w:val="000000"/>
          <w:spacing w:val="0"/>
          <w:sz w:val="19"/>
          <w:szCs w:val="19"/>
        </w:rPr>
      </w:pPr>
      <w:r>
        <w:rPr>
          <w:rFonts w:cs="Verdana" w:ascii="Arial" w:hAnsi="Arial"/>
          <w:i w:val="false"/>
          <w:caps w:val="false"/>
          <w:smallCaps w:val="false"/>
          <w:color w:val="000000"/>
          <w:spacing w:val="0"/>
          <w:sz w:val="19"/>
          <w:szCs w:val="19"/>
        </w:rPr>
        <w:t>Caso o edital seja retificado/alterado com a necessidade de remarcação de datas, as propostas devem ser lançadas novamente na plataforma eletrônica.</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Verdana"/>
          <w:b w:val="false"/>
          <w:bCs w:val="false"/>
          <w:i w:val="false"/>
          <w:caps w:val="false"/>
          <w:smallCaps w:val="false"/>
          <w:color w:val="000000"/>
          <w:spacing w:val="0"/>
          <w:sz w:val="19"/>
          <w:szCs w:val="19"/>
          <w:lang w:val="pt-BR" w:bidi="ar-SA"/>
        </w:rPr>
        <w:t xml:space="preserve">O Edital e seus anexos estão disponíveis, na íntegra, no Portal Nacional de Contratações Públicas (PNCP) e endereço eletrônico </w:t>
      </w:r>
      <w:hyperlink r:id="rId6">
        <w:r>
          <w:rPr>
            <w:rFonts w:eastAsia="MS Mincho;ＭＳ 明朝" w:cs="ArialMT"/>
            <w:b w:val="false"/>
            <w:bCs w:val="false"/>
            <w:color w:val="000000"/>
            <w:sz w:val="19"/>
            <w:szCs w:val="19"/>
            <w:u w:val="single"/>
            <w:lang w:val="pt-BR" w:eastAsia="zxx" w:bidi="ar-SA"/>
          </w:rPr>
          <w:t>http://ip.cianorte.pr.gov.br:8082/portaltransparencia/licitacoes</w:t>
        </w:r>
      </w:hyperlink>
      <w:r>
        <w:rPr>
          <w:rFonts w:eastAsia="MS Mincho;ＭＳ 明朝" w:cs="Verdana"/>
          <w:b w:val="false"/>
          <w:bCs w:val="false"/>
          <w:i w:val="false"/>
          <w:caps w:val="false"/>
          <w:smallCaps w:val="false"/>
          <w:color w:val="000000"/>
          <w:spacing w:val="0"/>
          <w:sz w:val="19"/>
          <w:szCs w:val="19"/>
          <w:lang w:val="pt-BR" w:bidi="ar-SA"/>
        </w:rPr>
        <w:t>, ou a</w:t>
      </w:r>
      <w:r>
        <w:rPr>
          <w:rFonts w:eastAsia="MS Mincho;ＭＳ 明朝" w:cs="Verdana"/>
          <w:b w:val="false"/>
          <w:bCs/>
          <w:i w:val="false"/>
          <w:caps w:val="false"/>
          <w:smallCaps w:val="false"/>
          <w:color w:val="000000"/>
          <w:spacing w:val="0"/>
          <w:sz w:val="19"/>
          <w:szCs w:val="19"/>
          <w:lang w:val="pt-BR" w:bidi="ar-SA"/>
        </w:rPr>
        <w:t xml:space="preserve"> disposição dos interessados na Divisão de Licitações do Município de Cianorte, no horário das 09h00 às 17h00, de segunda a sexta-feira, quando dias úteis.</w:t>
      </w:r>
    </w:p>
    <w:p>
      <w:pPr>
        <w:pStyle w:val="Normal"/>
        <w:numPr>
          <w:ilvl w:val="1"/>
          <w:numId w:val="4"/>
        </w:numPr>
        <w:overflowPunct w:val="true"/>
        <w:spacing w:lineRule="auto" w:line="240" w:before="31" w:after="62"/>
        <w:ind w:left="0" w:right="0" w:hanging="0"/>
        <w:jc w:val="both"/>
        <w:textAlignment w:val="baseline"/>
        <w:rPr>
          <w:rFonts w:ascii="Arial" w:hAnsi="Arial" w:cs="Verdana"/>
          <w:i w:val="false"/>
          <w:i w:val="false"/>
          <w:caps w:val="false"/>
          <w:smallCaps w:val="false"/>
          <w:color w:val="000000"/>
          <w:spacing w:val="0"/>
          <w:sz w:val="19"/>
          <w:szCs w:val="19"/>
        </w:rPr>
      </w:pPr>
      <w:r>
        <w:rPr>
          <w:rFonts w:cs="Verdana" w:ascii="Arial" w:hAnsi="Arial"/>
          <w:i w:val="false"/>
          <w:caps w:val="false"/>
          <w:smallCaps w:val="false"/>
          <w:color w:val="000000"/>
          <w:spacing w:val="0"/>
          <w:sz w:val="19"/>
          <w:szCs w:val="19"/>
        </w:rPr>
        <w:t>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pPr>
        <w:pStyle w:val="Normal"/>
        <w:numPr>
          <w:ilvl w:val="1"/>
          <w:numId w:val="4"/>
        </w:numPr>
        <w:overflowPunct w:val="true"/>
        <w:spacing w:lineRule="auto" w:line="240" w:before="31" w:after="62"/>
        <w:ind w:left="0" w:right="0" w:hanging="0"/>
        <w:jc w:val="both"/>
        <w:textAlignment w:val="baseline"/>
        <w:rPr>
          <w:rFonts w:ascii="Arial" w:hAnsi="Arial" w:cs="Verdana"/>
          <w:i w:val="false"/>
          <w:i w:val="false"/>
          <w:caps w:val="false"/>
          <w:smallCaps w:val="false"/>
          <w:color w:val="000000"/>
          <w:spacing w:val="0"/>
          <w:sz w:val="19"/>
          <w:szCs w:val="19"/>
        </w:rPr>
      </w:pPr>
      <w:r>
        <w:rPr>
          <w:rFonts w:cs="Verdana" w:ascii="Arial" w:hAnsi="Arial"/>
          <w:b w:val="false"/>
          <w:bCs w:val="false"/>
          <w:i w:val="false"/>
          <w:caps w:val="false"/>
          <w:smallCaps w:val="false"/>
          <w:color w:val="000000"/>
          <w:spacing w:val="0"/>
          <w:sz w:val="19"/>
          <w:szCs w:val="19"/>
        </w:rPr>
        <w:t>Ao Município de Cianorte fica assegurado o direito de revogar ou anular a presente licitação, em parte ou no todo, em decisão justificada por razões de interesse público derivado de fato superveniente comprovado ou anulá-la por ilegalidade, de ofício ou por provocação mediante ato escrito e fundamentado disponibilizado no sistema para conhecimento dos participantes da licitação. Em caso de revogação ou anulação parcial do certame, o MUNICÍPIO poderá aproveitar as propostas nos termos não atingidos pela revogação ou anulação e na estrita observância aos critérios de julgamento previstos neste edital, nas Leis nº. 14.133/21 e suas alterações. O Município poderá ainda prorrogar, a qualquer tempo, os prazos para recebimento das propostas ou para sua abertura.</w:t>
      </w:r>
    </w:p>
    <w:p>
      <w:pPr>
        <w:pStyle w:val="Corpodotexto"/>
        <w:numPr>
          <w:ilvl w:val="1"/>
          <w:numId w:val="4"/>
        </w:numPr>
        <w:overflowPunct w:val="tru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Integram este Edital, para todos os fins e efeitos, os seguintes anexos:</w:t>
      </w:r>
    </w:p>
    <w:p>
      <w:pPr>
        <w:pStyle w:val="Corpodotexto"/>
        <w:numPr>
          <w:ilvl w:val="0"/>
          <w:numId w:val="5"/>
        </w:numPr>
        <w:overflowPunct w:val="tru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 – MINUTA DE CONTRATO;</w:t>
      </w:r>
    </w:p>
    <w:p>
      <w:pPr>
        <w:pStyle w:val="Corpodotexto"/>
        <w:numPr>
          <w:ilvl w:val="0"/>
          <w:numId w:val="6"/>
        </w:numPr>
        <w:overflowPunct w:val="tru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II –  MODELO DE PROPOSTA DE PREÇOS;</w:t>
      </w:r>
    </w:p>
    <w:p>
      <w:pPr>
        <w:pStyle w:val="Corpodotexto"/>
        <w:numPr>
          <w:ilvl w:val="0"/>
          <w:numId w:val="7"/>
        </w:numPr>
        <w:overflowPunct w:val="tru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III – MODELO DE DECLARAÇÃO DE INIDONEIDADE, ATENDIMENTO AOS REQUISITOS DE HABILITAÇÃO E CIÊNCIA DA VERACIDADE DAS INFORMAÇÕES PRESTADAS, CUMPRIMENTO COM AS EXIGÊNCIAS DA RESERVA DE CARGOS PARA PESSOA COM DEFICIÊNCIA E PARA REABILITADO DA PREVIDÊNCIA SOCIAL, CUMPRIMENTO DO INCISO XXXIII DO ART. 7º DA CONSTITUIÇÃO FEDERAL, VALOR DA PROPOSTA COMPREENDENDO A INTEGRALIDADE DOS CUSTOS PARA ATENDIMENTO DOS DIREITOS TRABALHISTAS E NÃO IMPEDIMENTO E ENQUADRAMENTO DA EMPRESAMODELO DE DECL. DE IDONEIDADE E INEX. DE FATO SUPERVENIENTE E ATEND. AOS REQU. DE HABIL.;</w:t>
      </w:r>
    </w:p>
    <w:p>
      <w:pPr>
        <w:pStyle w:val="Corpodotexto"/>
        <w:numPr>
          <w:ilvl w:val="0"/>
          <w:numId w:val="8"/>
        </w:numPr>
        <w:overflowPunct w:val="tru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IV – INFORMAÇÕES COMPLEMENTARES.</w:t>
      </w:r>
    </w:p>
    <w:p>
      <w:pPr>
        <w:pStyle w:val="Corpodotexto"/>
        <w:numPr>
          <w:ilvl w:val="0"/>
          <w:numId w:val="0"/>
        </w:numPr>
        <w:overflowPunct w:val="tru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r>
    </w:p>
    <w:p>
      <w:pPr>
        <w:pStyle w:val="Normal"/>
        <w:overflowPunct w:val="true"/>
        <w:spacing w:lineRule="auto" w:line="240" w:before="0" w:after="120"/>
        <w:jc w:val="both"/>
        <w:textAlignment w:val="baseline"/>
        <w:rPr>
          <w:rFonts w:ascii="Arial" w:hAnsi="Arial"/>
          <w:color w:val="000000"/>
          <w:sz w:val="19"/>
          <w:szCs w:val="19"/>
        </w:rPr>
      </w:pPr>
      <w:r>
        <w:rPr>
          <w:rFonts w:cs="ArialMT" w:ascii="Arial" w:hAnsi="Arial"/>
          <w:color w:val="000000"/>
          <w:sz w:val="19"/>
          <w:szCs w:val="19"/>
        </w:rPr>
        <w:t xml:space="preserve">Paço Municipal Wilson Ferreira Varella, em   </w:t>
      </w:r>
      <w:r>
        <w:rPr>
          <w:rFonts w:cs="ArialMT" w:ascii="Arial" w:hAnsi="Arial"/>
          <w:color w:val="000000"/>
          <w:sz w:val="19"/>
          <w:szCs w:val="19"/>
        </w:rPr>
        <w:t>10</w:t>
      </w:r>
      <w:r>
        <w:rPr>
          <w:rFonts w:cs="ArialMT" w:ascii="Arial" w:hAnsi="Arial"/>
          <w:color w:val="000000"/>
          <w:sz w:val="19"/>
          <w:szCs w:val="19"/>
        </w:rPr>
        <w:t xml:space="preserve"> de Outubro de 2025.</w:t>
      </w:r>
    </w:p>
    <w:p>
      <w:pPr>
        <w:pStyle w:val="Normal"/>
        <w:tabs>
          <w:tab w:val="clear" w:pos="709"/>
          <w:tab w:val="center" w:pos="2552" w:leader="none"/>
          <w:tab w:val="center" w:pos="7655" w:leader="none"/>
        </w:tabs>
        <w:overflowPunct w:val="true"/>
        <w:spacing w:lineRule="auto" w:line="240" w:before="0" w:after="6"/>
        <w:jc w:val="center"/>
        <w:textAlignment w:val="baseline"/>
        <w:rPr>
          <w:rFonts w:ascii="Arial" w:hAnsi="Arial"/>
          <w:color w:val="000000"/>
          <w:sz w:val="19"/>
          <w:szCs w:val="19"/>
        </w:rPr>
      </w:pPr>
      <w:r>
        <w:rPr>
          <w:rFonts w:eastAsia="Times New Roman" w:cs="Verdana" w:ascii="Arial" w:hAnsi="Arial"/>
          <w:b/>
          <w:color w:val="000000"/>
          <w:sz w:val="19"/>
          <w:szCs w:val="19"/>
          <w:lang w:val="pt-BR" w:bidi="ar-SA"/>
        </w:rPr>
        <w:t>__________________________</w:t>
      </w:r>
    </w:p>
    <w:p>
      <w:pPr>
        <w:pStyle w:val="Normal"/>
        <w:tabs>
          <w:tab w:val="clear" w:pos="709"/>
          <w:tab w:val="center" w:pos="2552" w:leader="none"/>
          <w:tab w:val="center" w:pos="7655" w:leader="none"/>
        </w:tabs>
        <w:overflowPunct w:val="true"/>
        <w:spacing w:lineRule="auto" w:line="240" w:before="0" w:after="6"/>
        <w:jc w:val="center"/>
        <w:textAlignment w:val="baseline"/>
        <w:rPr>
          <w:rFonts w:ascii="Arial" w:hAnsi="Arial" w:eastAsia="Times New Roman" w:cs="Verdana"/>
          <w:b/>
          <w:b/>
          <w:color w:val="000000"/>
          <w:sz w:val="19"/>
          <w:szCs w:val="19"/>
          <w:lang w:val="pt-BR" w:bidi="ar-SA"/>
        </w:rPr>
      </w:pPr>
      <w:r>
        <w:rPr>
          <w:rFonts w:eastAsia="Times New Roman" w:cs="Verdana" w:ascii="Arial" w:hAnsi="Arial"/>
          <w:b/>
          <w:color w:val="000000"/>
          <w:sz w:val="19"/>
          <w:szCs w:val="19"/>
          <w:lang w:val="pt-BR" w:eastAsia="zh-CN" w:bidi="ar-SA"/>
        </w:rPr>
        <w:t>Daniele Lima Simão</w:t>
      </w:r>
    </w:p>
    <w:p>
      <w:pPr>
        <w:pStyle w:val="Normal"/>
        <w:tabs>
          <w:tab w:val="clear" w:pos="709"/>
          <w:tab w:val="center" w:pos="2552" w:leader="none"/>
          <w:tab w:val="center" w:pos="7655" w:leader="none"/>
        </w:tabs>
        <w:overflowPunct w:val="true"/>
        <w:spacing w:lineRule="auto" w:line="240" w:before="0" w:after="6"/>
        <w:jc w:val="center"/>
        <w:textAlignment w:val="baseline"/>
        <w:rPr>
          <w:rFonts w:ascii="Arial" w:hAnsi="Arial" w:eastAsia="MS Mincho;ＭＳ 明朝" w:cs="Verdana"/>
          <w:b/>
          <w:b/>
          <w:color w:val="000000"/>
          <w:sz w:val="19"/>
          <w:szCs w:val="19"/>
        </w:rPr>
      </w:pPr>
      <w:r>
        <w:rPr>
          <w:rFonts w:eastAsia="MS Mincho;ＭＳ 明朝" w:cs="Verdana" w:ascii="Arial" w:hAnsi="Arial"/>
          <w:b/>
          <w:color w:val="000000"/>
          <w:sz w:val="19"/>
          <w:szCs w:val="19"/>
        </w:rPr>
        <w:t>Secretária Municipal de Administração</w:t>
      </w:r>
      <w:r>
        <w:br w:type="page"/>
      </w:r>
    </w:p>
    <w:p>
      <w:pPr>
        <w:pStyle w:val="Ttulo2"/>
        <w:numPr>
          <w:ilvl w:val="1"/>
          <w:numId w:val="2"/>
        </w:numPr>
        <w:spacing w:lineRule="auto" w:line="240" w:before="0" w:after="62"/>
        <w:jc w:val="center"/>
        <w:rPr>
          <w:color w:val="000000"/>
        </w:rPr>
      </w:pPr>
      <w:bookmarkStart w:id="3" w:name="__RefHeading___Toc34713_3041975443"/>
      <w:bookmarkEnd w:id="3"/>
      <w:r>
        <w:rPr>
          <w:color w:val="000000"/>
          <w:sz w:val="19"/>
          <w:szCs w:val="19"/>
        </w:rPr>
        <w:t>ANEXO I</w:t>
      </w:r>
    </w:p>
    <w:p>
      <w:pPr>
        <w:pStyle w:val="Ttulo3"/>
        <w:numPr>
          <w:ilvl w:val="2"/>
          <w:numId w:val="2"/>
        </w:numPr>
        <w:spacing w:lineRule="auto" w:line="240" w:before="31" w:after="62"/>
        <w:rPr>
          <w:color w:val="auto"/>
        </w:rPr>
      </w:pPr>
      <w:bookmarkStart w:id="4" w:name="__RefHeading___Toc34719_3041975443"/>
      <w:bookmarkEnd w:id="4"/>
      <w:r>
        <w:rPr>
          <w:color w:val="auto"/>
        </w:rPr>
        <w:t>MINUTA DE CONTRATO</w:t>
      </w:r>
    </w:p>
    <w:p>
      <w:pPr>
        <w:pStyle w:val="Normal"/>
        <w:spacing w:lineRule="auto" w:line="240" w:before="31" w:after="62"/>
        <w:jc w:val="center"/>
        <w:rPr>
          <w:rFonts w:ascii="Arial" w:hAnsi="Arial"/>
          <w:color w:val="auto"/>
          <w:sz w:val="19"/>
          <w:szCs w:val="19"/>
        </w:rPr>
      </w:pPr>
      <w:r>
        <w:rPr>
          <w:rFonts w:eastAsia="MS Mincho;ＭＳ 明朝" w:cs="Verdana" w:ascii="Arial" w:hAnsi="Arial"/>
          <w:b/>
          <w:color w:val="auto"/>
          <w:sz w:val="19"/>
          <w:szCs w:val="19"/>
          <w:lang w:eastAsia="pt-BR"/>
        </w:rPr>
        <w:t xml:space="preserve">MINUTA – </w:t>
      </w:r>
      <w:r>
        <w:rPr>
          <w:rFonts w:eastAsia="MS Mincho;ＭＳ 明朝" w:cs="Verdana" w:ascii="Arial" w:hAnsi="Arial"/>
          <w:b/>
          <w:iCs/>
          <w:color w:val="auto"/>
          <w:sz w:val="19"/>
          <w:szCs w:val="19"/>
          <w:lang w:eastAsia="pt-BR"/>
        </w:rPr>
        <w:t>CONTRATO</w:t>
      </w:r>
      <w:r>
        <w:rPr>
          <w:rFonts w:eastAsia="MS Mincho;ＭＳ 明朝" w:cs="Verdana" w:ascii="Arial" w:hAnsi="Arial"/>
          <w:b/>
          <w:color w:val="auto"/>
          <w:sz w:val="19"/>
          <w:szCs w:val="19"/>
          <w:lang w:eastAsia="pt-BR"/>
        </w:rPr>
        <w:t xml:space="preserve"> Nº &lt;Número_Contrato&gt;/&lt;Ano_Contrato&gt; – LCT/PMC</w:t>
      </w:r>
    </w:p>
    <w:p>
      <w:pPr>
        <w:pStyle w:val="Normal"/>
        <w:overflowPunct w:val="true"/>
        <w:spacing w:lineRule="auto" w:line="240" w:before="31" w:after="62"/>
        <w:jc w:val="both"/>
        <w:textAlignment w:val="baseline"/>
        <w:rPr>
          <w:rFonts w:ascii="Arial" w:hAnsi="Arial"/>
          <w:color w:val="auto"/>
          <w:sz w:val="19"/>
          <w:szCs w:val="19"/>
        </w:rPr>
      </w:pPr>
      <w:r>
        <w:rPr>
          <w:rFonts w:eastAsia="MS Mincho;ＭＳ 明朝" w:cs="Verdana" w:ascii="Arial" w:hAnsi="Arial"/>
          <w:color w:val="auto"/>
          <w:sz w:val="19"/>
          <w:szCs w:val="19"/>
          <w:lang w:eastAsia="pt-BR"/>
        </w:rPr>
        <w:t xml:space="preserve">TERMO DE CONTRATO QUE ENTRE SI CELEBRAM O </w:t>
      </w:r>
      <w:r>
        <w:rPr>
          <w:rFonts w:eastAsia="MS Mincho;ＭＳ 明朝" w:cs="Verdana" w:ascii="Arial" w:hAnsi="Arial"/>
          <w:b/>
          <w:color w:val="auto"/>
          <w:sz w:val="19"/>
          <w:szCs w:val="19"/>
          <w:lang w:eastAsia="pt-BR"/>
        </w:rPr>
        <w:t xml:space="preserve">MUNICÍPIO DE CIANORTE – </w:t>
      </w:r>
      <w:r>
        <w:rPr>
          <w:rFonts w:eastAsia="MS Mincho;ＭＳ 明朝" w:cs="Verdana" w:ascii="Arial" w:hAnsi="Arial"/>
          <w:color w:val="auto"/>
          <w:sz w:val="19"/>
          <w:szCs w:val="19"/>
          <w:lang w:eastAsia="pt-BR"/>
        </w:rPr>
        <w:t xml:space="preserve">ESTADO DO PARANÁ E A EMPRESA </w:t>
      </w:r>
      <w:r>
        <w:rPr>
          <w:rFonts w:cs="Verdana" w:ascii="Arial" w:hAnsi="Arial"/>
          <w:color w:val="auto"/>
          <w:sz w:val="19"/>
          <w:szCs w:val="19"/>
        </w:rPr>
        <w:t>&lt;Nome_Fornecedor&gt;</w:t>
      </w:r>
      <w:r>
        <w:rPr>
          <w:rFonts w:eastAsia="MS Mincho;ＭＳ 明朝" w:cs="Verdana" w:ascii="Arial" w:hAnsi="Arial"/>
          <w:color w:val="auto"/>
          <w:sz w:val="19"/>
          <w:szCs w:val="19"/>
          <w:lang w:eastAsia="pt-BR"/>
        </w:rPr>
        <w:t xml:space="preserve"> PA</w:t>
      </w:r>
      <w:r>
        <w:rPr>
          <w:rFonts w:eastAsia="MS Mincho;ＭＳ 明朝" w:cs="Verdana" w:ascii="Arial" w:hAnsi="Arial"/>
          <w:color w:val="000000"/>
          <w:sz w:val="19"/>
          <w:szCs w:val="19"/>
          <w:shd w:fill="auto" w:val="clear"/>
          <w:lang w:eastAsia="pt-BR"/>
        </w:rPr>
        <w:t xml:space="preserve">RA </w:t>
      </w:r>
      <w:r>
        <w:rPr>
          <w:rFonts w:eastAsia="MS Mincho;ＭＳ 明朝" w:cs="Verdana" w:ascii="Arial" w:hAnsi="Arial"/>
          <w:b/>
          <w:bCs/>
          <w:color w:val="FF0000"/>
          <w:sz w:val="19"/>
          <w:szCs w:val="19"/>
          <w:shd w:fill="auto" w:val="clear"/>
          <w:lang w:eastAsia="pt-BR"/>
        </w:rPr>
        <w:t>Aquisição de roçadeira hidráulica.</w:t>
      </w:r>
    </w:p>
    <w:p>
      <w:pPr>
        <w:pStyle w:val="Normal"/>
        <w:overflowPunct w:val="true"/>
        <w:spacing w:lineRule="auto" w:line="240" w:before="31" w:after="62"/>
        <w:jc w:val="both"/>
        <w:textAlignment w:val="baseline"/>
        <w:rPr>
          <w:rFonts w:ascii="Arial" w:hAnsi="Arial" w:cs="Verdana"/>
          <w:b/>
          <w:b/>
          <w:color w:val="auto"/>
          <w:sz w:val="19"/>
          <w:szCs w:val="19"/>
          <w:u w:val="single"/>
          <w:shd w:fill="auto" w:val="clear"/>
        </w:rPr>
      </w:pPr>
      <w:r>
        <w:rPr>
          <w:rFonts w:cs="Verdana" w:ascii="Arial" w:hAnsi="Arial"/>
          <w:b/>
          <w:color w:val="000000"/>
          <w:sz w:val="19"/>
          <w:szCs w:val="19"/>
          <w:u w:val="single"/>
          <w:shd w:fill="auto" w:val="clear"/>
        </w:rPr>
        <w:t>CONTRATANTE:</w:t>
      </w:r>
    </w:p>
    <w:p>
      <w:pPr>
        <w:pStyle w:val="Normal"/>
        <w:overflowPunct w:val="true"/>
        <w:spacing w:lineRule="auto" w:line="240" w:before="31" w:after="62"/>
        <w:jc w:val="both"/>
        <w:textAlignment w:val="baseline"/>
        <w:rPr>
          <w:rFonts w:ascii="Arial" w:hAnsi="Arial"/>
          <w:color w:val="000000"/>
          <w:sz w:val="19"/>
          <w:szCs w:val="19"/>
        </w:rPr>
      </w:pPr>
      <w:r>
        <w:rPr>
          <w:rFonts w:cs="Verdana" w:ascii="Arial" w:hAnsi="Arial"/>
          <w:b/>
          <w:color w:val="000000"/>
          <w:sz w:val="19"/>
          <w:szCs w:val="19"/>
        </w:rPr>
        <w:t>MUNICÍPIO DE CIANORTE</w:t>
      </w:r>
      <w:r>
        <w:rPr>
          <w:rFonts w:cs="Verdana" w:ascii="Arial" w:hAnsi="Arial"/>
          <w:color w:val="000000"/>
          <w:sz w:val="19"/>
          <w:szCs w:val="19"/>
        </w:rPr>
        <w:t>, Estado do Paraná, Pessoa Jurídica de direito Público com sede no Centro Cívico Edno Guimarães, n.º 100, inscrita no</w:t>
      </w:r>
      <w:r>
        <w:rPr>
          <w:rFonts w:cs="Verdana" w:ascii="Arial" w:hAnsi="Arial"/>
          <w:b/>
          <w:bCs/>
          <w:color w:val="000000"/>
          <w:sz w:val="19"/>
          <w:szCs w:val="19"/>
        </w:rPr>
        <w:t xml:space="preserve"> CNPJ/MF n</w:t>
      </w:r>
      <w:r>
        <w:rPr>
          <w:rFonts w:cs="Verdana" w:ascii="Arial" w:hAnsi="Arial"/>
          <w:b/>
          <w:bCs/>
          <w:color w:val="000000"/>
          <w:sz w:val="19"/>
          <w:szCs w:val="19"/>
          <w:u w:val="single"/>
          <w:vertAlign w:val="superscript"/>
        </w:rPr>
        <w:t>o</w:t>
      </w:r>
      <w:r>
        <w:rPr>
          <w:rFonts w:cs="Verdana" w:ascii="Arial" w:hAnsi="Arial"/>
          <w:b/>
          <w:bCs/>
          <w:color w:val="000000"/>
          <w:sz w:val="19"/>
          <w:szCs w:val="19"/>
        </w:rPr>
        <w:t xml:space="preserve"> 76.309.806/0001-28</w:t>
      </w:r>
      <w:r>
        <w:rPr>
          <w:rFonts w:cs="Verdana" w:ascii="Arial" w:hAnsi="Arial"/>
          <w:color w:val="000000"/>
          <w:sz w:val="19"/>
          <w:szCs w:val="19"/>
        </w:rPr>
        <w:t xml:space="preserve">, neste ato representada pelo seu Prefeito, </w:t>
      </w:r>
      <w:r>
        <w:rPr>
          <w:rFonts w:cs="Verdana" w:ascii="Arial" w:hAnsi="Arial"/>
          <w:b/>
          <w:color w:val="000000"/>
          <w:sz w:val="19"/>
          <w:szCs w:val="19"/>
        </w:rPr>
        <w:t xml:space="preserve">Sr. Marco Antonio Franzato, </w:t>
      </w:r>
      <w:r>
        <w:rPr>
          <w:rFonts w:cs="Verdana" w:ascii="Arial" w:hAnsi="Arial"/>
          <w:color w:val="000000"/>
          <w:sz w:val="19"/>
          <w:szCs w:val="19"/>
        </w:rPr>
        <w:t>Portador da Cédula de Identidade RG n</w:t>
      </w:r>
      <w:r>
        <w:rPr>
          <w:rFonts w:cs="Verdana" w:ascii="Arial" w:hAnsi="Arial"/>
          <w:color w:val="000000"/>
          <w:sz w:val="19"/>
          <w:szCs w:val="19"/>
          <w:u w:val="single"/>
          <w:vertAlign w:val="superscript"/>
        </w:rPr>
        <w:t>o</w:t>
      </w:r>
      <w:r>
        <w:rPr>
          <w:rFonts w:cs="Verdana" w:ascii="Arial" w:hAnsi="Arial"/>
          <w:color w:val="000000"/>
          <w:sz w:val="19"/>
          <w:szCs w:val="19"/>
        </w:rPr>
        <w:t xml:space="preserve"> 3.037.024-4 SSP/PR, e do CPF n</w:t>
      </w:r>
      <w:r>
        <w:rPr>
          <w:rFonts w:cs="Verdana" w:ascii="Arial" w:hAnsi="Arial"/>
          <w:color w:val="000000"/>
          <w:sz w:val="19"/>
          <w:szCs w:val="19"/>
          <w:u w:val="single"/>
          <w:vertAlign w:val="superscript"/>
        </w:rPr>
        <w:t>o</w:t>
      </w:r>
      <w:r>
        <w:rPr>
          <w:rFonts w:cs="Verdana" w:ascii="Arial" w:hAnsi="Arial"/>
          <w:color w:val="000000"/>
          <w:sz w:val="19"/>
          <w:szCs w:val="19"/>
        </w:rPr>
        <w:t xml:space="preserve"> 306.800.859-04 e</w:t>
      </w:r>
    </w:p>
    <w:p>
      <w:pPr>
        <w:pStyle w:val="Normal"/>
        <w:overflowPunct w:val="true"/>
        <w:spacing w:lineRule="auto" w:line="240" w:before="31" w:after="62"/>
        <w:jc w:val="both"/>
        <w:textAlignment w:val="baseline"/>
        <w:rPr>
          <w:rFonts w:ascii="Arial" w:hAnsi="Arial" w:cs="Verdana"/>
          <w:b/>
          <w:b/>
          <w:color w:val="000000"/>
          <w:sz w:val="19"/>
          <w:szCs w:val="19"/>
          <w:u w:val="single"/>
        </w:rPr>
      </w:pPr>
      <w:r>
        <w:rPr>
          <w:rFonts w:cs="Verdana" w:ascii="Arial" w:hAnsi="Arial"/>
          <w:b/>
          <w:color w:val="000000"/>
          <w:sz w:val="19"/>
          <w:szCs w:val="19"/>
          <w:u w:val="single"/>
        </w:rPr>
        <w:t>CONTRATADA:</w:t>
      </w:r>
    </w:p>
    <w:p>
      <w:pPr>
        <w:pStyle w:val="Normal"/>
        <w:tabs>
          <w:tab w:val="clear" w:pos="709"/>
          <w:tab w:val="left" w:pos="2268" w:leader="none"/>
        </w:tabs>
        <w:overflowPunct w:val="true"/>
        <w:spacing w:lineRule="auto" w:line="240" w:before="31" w:after="62"/>
        <w:jc w:val="both"/>
        <w:textAlignment w:val="baseline"/>
        <w:rPr>
          <w:rFonts w:ascii="Arial" w:hAnsi="Arial"/>
          <w:color w:val="000000"/>
          <w:sz w:val="19"/>
          <w:szCs w:val="19"/>
        </w:rPr>
      </w:pPr>
      <w:r>
        <w:rPr>
          <w:rFonts w:cs="Verdana" w:ascii="Arial" w:hAnsi="Arial"/>
          <w:b/>
          <w:bCs/>
          <w:color w:val="000000"/>
          <w:sz w:val="19"/>
          <w:szCs w:val="19"/>
        </w:rPr>
        <w:t>&lt;Nome_Fornecedor&gt;</w:t>
      </w:r>
      <w:r>
        <w:rPr>
          <w:rFonts w:cs="Verdana" w:ascii="Arial" w:hAnsi="Arial"/>
          <w:color w:val="000000"/>
          <w:sz w:val="19"/>
          <w:szCs w:val="19"/>
        </w:rPr>
        <w:t>, pessoa jurídica de direito privado, com sede à &lt;Endereço_Fornecedor&gt;</w:t>
      </w:r>
      <w:r>
        <w:rPr>
          <w:rFonts w:cs="Arial" w:ascii="Arial" w:hAnsi="Arial"/>
          <w:color w:val="000000"/>
          <w:sz w:val="19"/>
          <w:szCs w:val="19"/>
        </w:rPr>
        <w:t xml:space="preserve">, </w:t>
      </w:r>
      <w:r>
        <w:rPr>
          <w:rFonts w:cs="Verdana" w:ascii="Arial" w:hAnsi="Arial"/>
          <w:color w:val="000000"/>
          <w:sz w:val="19"/>
          <w:szCs w:val="19"/>
        </w:rPr>
        <w:t>&lt;Bairro_Fornecedor&gt;</w:t>
      </w:r>
      <w:r>
        <w:rPr>
          <w:rFonts w:cs="Arial" w:ascii="Arial" w:hAnsi="Arial"/>
          <w:color w:val="000000"/>
          <w:sz w:val="19"/>
          <w:szCs w:val="19"/>
        </w:rPr>
        <w:t xml:space="preserve">, CEP </w:t>
      </w:r>
      <w:r>
        <w:rPr>
          <w:rFonts w:cs="Arial" w:ascii="Arial" w:hAnsi="Arial"/>
          <w:b w:val="false"/>
          <w:bCs w:val="false"/>
          <w:color w:val="000000"/>
          <w:sz w:val="19"/>
          <w:szCs w:val="19"/>
        </w:rPr>
        <w:t>&lt;Cep_Fornecedor&gt;,</w:t>
      </w:r>
      <w:r>
        <w:rPr>
          <w:rFonts w:cs="Arial" w:ascii="Arial" w:hAnsi="Arial"/>
          <w:color w:val="000000"/>
          <w:sz w:val="19"/>
          <w:szCs w:val="19"/>
        </w:rPr>
        <w:t xml:space="preserve"> </w:t>
      </w:r>
      <w:r>
        <w:rPr>
          <w:rFonts w:cs="Verdana" w:ascii="Arial" w:hAnsi="Arial"/>
          <w:color w:val="000000"/>
          <w:sz w:val="19"/>
          <w:szCs w:val="19"/>
        </w:rPr>
        <w:t xml:space="preserve">na cidade de &lt;Cidade_Fornecedor&gt;&lt;Estado_Sigla_Fornecedor&gt;, inscrita no </w:t>
      </w:r>
      <w:r>
        <w:rPr>
          <w:rFonts w:cs="Verdana" w:ascii="Arial" w:hAnsi="Arial"/>
          <w:b/>
          <w:color w:val="000000"/>
          <w:sz w:val="19"/>
          <w:szCs w:val="19"/>
        </w:rPr>
        <w:t xml:space="preserve">CNPJ/MF sob nº </w:t>
      </w:r>
      <w:r>
        <w:rPr>
          <w:rFonts w:cs="Verdana" w:ascii="Arial" w:hAnsi="Arial"/>
          <w:b/>
          <w:bCs/>
          <w:color w:val="000000"/>
          <w:sz w:val="19"/>
          <w:szCs w:val="19"/>
        </w:rPr>
        <w:t>&lt;CNPJ_CPF_Fornecedor&gt;</w:t>
      </w:r>
      <w:r>
        <w:rPr>
          <w:rFonts w:cs="Verdana" w:ascii="Arial" w:hAnsi="Arial"/>
          <w:color w:val="000000"/>
          <w:sz w:val="19"/>
          <w:szCs w:val="19"/>
        </w:rPr>
        <w:t xml:space="preserve">, </w:t>
      </w:r>
      <w:r>
        <w:rPr>
          <w:rFonts w:cs="Arial" w:ascii="Arial" w:hAnsi="Arial"/>
          <w:color w:val="000000"/>
          <w:sz w:val="19"/>
          <w:szCs w:val="19"/>
        </w:rPr>
        <w:t xml:space="preserve">telefone </w:t>
      </w:r>
      <w:r>
        <w:rPr>
          <w:rFonts w:cs="Verdana" w:ascii="Arial" w:hAnsi="Arial"/>
          <w:color w:val="000000"/>
          <w:sz w:val="19"/>
          <w:szCs w:val="19"/>
        </w:rPr>
        <w:t>&lt;Fone_Fornecedor&gt;</w:t>
      </w:r>
      <w:r>
        <w:rPr>
          <w:rFonts w:cs="Arial" w:ascii="Arial" w:hAnsi="Arial"/>
          <w:color w:val="000000"/>
          <w:sz w:val="19"/>
          <w:szCs w:val="19"/>
        </w:rPr>
        <w:t xml:space="preserve">, Email: </w:t>
      </w:r>
      <w:r>
        <w:rPr>
          <w:rFonts w:cs="Verdana" w:ascii="Arial" w:hAnsi="Arial"/>
          <w:color w:val="000000"/>
          <w:sz w:val="19"/>
          <w:szCs w:val="19"/>
        </w:rPr>
        <w:t>&lt;Email_Fornecedor&gt;</w:t>
      </w:r>
      <w:r>
        <w:rPr>
          <w:rFonts w:cs="Arial" w:ascii="Arial" w:hAnsi="Arial"/>
          <w:color w:val="000000"/>
          <w:sz w:val="19"/>
          <w:szCs w:val="19"/>
        </w:rPr>
        <w:t xml:space="preserve">, </w:t>
      </w:r>
      <w:r>
        <w:rPr>
          <w:rFonts w:cs="Verdana" w:ascii="Arial" w:hAnsi="Arial"/>
          <w:color w:val="000000"/>
          <w:sz w:val="19"/>
          <w:szCs w:val="19"/>
        </w:rPr>
        <w:t xml:space="preserve">neste ato representada pelo seu sócio administrador, o </w:t>
      </w:r>
      <w:r>
        <w:rPr>
          <w:rFonts w:cs="Verdana" w:ascii="Arial" w:hAnsi="Arial"/>
          <w:b/>
          <w:color w:val="000000"/>
          <w:sz w:val="19"/>
          <w:szCs w:val="19"/>
        </w:rPr>
        <w:t>Sr.</w:t>
      </w:r>
      <w:r>
        <w:rPr>
          <w:rFonts w:cs="Verdana" w:ascii="Arial" w:hAnsi="Arial"/>
          <w:b/>
          <w:bCs/>
          <w:color w:val="000000"/>
          <w:sz w:val="19"/>
          <w:szCs w:val="19"/>
        </w:rPr>
        <w:t xml:space="preserve"> &lt;Nome_Representante&gt;</w:t>
      </w:r>
      <w:r>
        <w:rPr>
          <w:rFonts w:cs="Arial" w:ascii="Arial" w:hAnsi="Arial"/>
          <w:b/>
          <w:color w:val="000000"/>
          <w:sz w:val="19"/>
          <w:szCs w:val="19"/>
        </w:rPr>
        <w:t>,</w:t>
      </w:r>
      <w:r>
        <w:rPr>
          <w:rFonts w:cs="Arial" w:ascii="Arial" w:hAnsi="Arial"/>
          <w:color w:val="000000"/>
          <w:sz w:val="19"/>
          <w:szCs w:val="19"/>
        </w:rPr>
        <w:t xml:space="preserve"> portador da Cédula de Identidade </w:t>
      </w:r>
      <w:r>
        <w:rPr>
          <w:rFonts w:cs="Verdana" w:ascii="Arial" w:hAnsi="Arial"/>
          <w:color w:val="000000"/>
          <w:sz w:val="19"/>
          <w:szCs w:val="19"/>
        </w:rPr>
        <w:t>&lt;RG_Representante&gt;</w:t>
      </w:r>
      <w:r>
        <w:rPr>
          <w:rFonts w:cs="Arial" w:ascii="Arial" w:hAnsi="Arial"/>
          <w:color w:val="000000"/>
          <w:sz w:val="19"/>
          <w:szCs w:val="19"/>
        </w:rPr>
        <w:t>/</w:t>
      </w:r>
      <w:r>
        <w:rPr>
          <w:rFonts w:cs="Verdana" w:ascii="Arial" w:hAnsi="Arial"/>
          <w:color w:val="000000"/>
          <w:sz w:val="19"/>
          <w:szCs w:val="19"/>
        </w:rPr>
        <w:t>&lt;Órgão_Emissor_Representante&gt;</w:t>
      </w:r>
      <w:r>
        <w:rPr>
          <w:rFonts w:cs="Arial" w:ascii="Arial" w:hAnsi="Arial"/>
          <w:color w:val="000000"/>
          <w:sz w:val="19"/>
          <w:szCs w:val="19"/>
        </w:rPr>
        <w:t xml:space="preserve"> e do CPF </w:t>
      </w:r>
      <w:r>
        <w:rPr>
          <w:rFonts w:cs="Verdana" w:ascii="Arial" w:hAnsi="Arial"/>
          <w:color w:val="000000"/>
          <w:sz w:val="19"/>
          <w:szCs w:val="19"/>
        </w:rPr>
        <w:t>&lt;CPF_Representante&gt;, residente e domiciliado em &lt;Cidade_Fornecedor&gt;/&lt;Estado_Sigla_Fornecedor&gt;.</w:t>
      </w:r>
    </w:p>
    <w:p>
      <w:pPr>
        <w:pStyle w:val="Normal"/>
        <w:tabs>
          <w:tab w:val="clear" w:pos="709"/>
          <w:tab w:val="left" w:pos="2268" w:leader="none"/>
        </w:tabs>
        <w:overflowPunct w:val="tru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t>Por este instrumento e na melhor forma de direito, tem entre si, sujeitando-se aos termos da Lei Federal nº 14.133/2021 e às seguintes cláusulas e condições que reciprocamente outorgam e aceitam:</w:t>
      </w:r>
    </w:p>
    <w:p>
      <w:pPr>
        <w:pStyle w:val="Normal"/>
        <w:tabs>
          <w:tab w:val="clear" w:pos="709"/>
          <w:tab w:val="left" w:pos="2268" w:leader="none"/>
        </w:tabs>
        <w:overflowPunct w:val="tru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r>
    </w:p>
    <w:p>
      <w:pPr>
        <w:pStyle w:val="Normal"/>
        <w:numPr>
          <w:ilvl w:val="0"/>
          <w:numId w:val="9"/>
        </w:numPr>
        <w:overflowPunct w:val="true"/>
        <w:spacing w:lineRule="auto" w:line="240" w:before="31" w:after="62"/>
        <w:ind w:left="0" w:right="0" w:hanging="0"/>
        <w:jc w:val="both"/>
        <w:textAlignment w:val="baseline"/>
        <w:rPr>
          <w:rFonts w:ascii="Arial" w:hAnsi="Arial" w:eastAsia="MS Mincho;ＭＳ 明朝" w:cs="Verdana"/>
          <w:b/>
          <w:b/>
          <w:iCs/>
          <w:color w:val="000000"/>
          <w:sz w:val="19"/>
          <w:szCs w:val="19"/>
          <w:u w:val="single"/>
          <w:lang w:eastAsia="pt-BR"/>
        </w:rPr>
      </w:pPr>
      <w:r>
        <w:rPr>
          <w:rFonts w:eastAsia="MS Mincho;ＭＳ 明朝" w:cs="Verdana" w:ascii="Arial" w:hAnsi="Arial"/>
          <w:b/>
          <w:iCs/>
          <w:color w:val="000000"/>
          <w:sz w:val="19"/>
          <w:szCs w:val="19"/>
          <w:u w:val="single"/>
          <w:lang w:eastAsia="pt-BR"/>
        </w:rPr>
        <w:t>DO FUNDAMENTO LEGAL</w:t>
      </w:r>
    </w:p>
    <w:p>
      <w:pPr>
        <w:pStyle w:val="Normal"/>
        <w:numPr>
          <w:ilvl w:val="1"/>
          <w:numId w:val="9"/>
        </w:numPr>
        <w:overflowPunct w:val="true"/>
        <w:spacing w:lineRule="auto" w:line="240" w:before="31" w:after="62"/>
        <w:ind w:left="0" w:right="0" w:hanging="0"/>
        <w:jc w:val="both"/>
        <w:textAlignment w:val="baseline"/>
        <w:rPr>
          <w:color w:val="000000"/>
        </w:rPr>
      </w:pPr>
      <w:r>
        <w:rPr>
          <w:rFonts w:cs="Verdana" w:ascii="Arial" w:hAnsi="Arial"/>
          <w:color w:val="000000"/>
          <w:sz w:val="19"/>
          <w:szCs w:val="19"/>
        </w:rPr>
        <w:t xml:space="preserve">Este contrato decorre do processo licitatório realizado pelo Contratante na modalidade de </w:t>
      </w:r>
      <w:r>
        <w:rPr>
          <w:rFonts w:cs="Verdana" w:ascii="Arial" w:hAnsi="Arial"/>
          <w:b/>
          <w:bCs/>
          <w:color w:val="000000"/>
          <w:sz w:val="19"/>
          <w:szCs w:val="19"/>
        </w:rPr>
        <w:t xml:space="preserve">Pregão </w:t>
      </w:r>
      <w:r>
        <w:rPr>
          <w:rFonts w:eastAsia="Times New Roman" w:cs="Verdana" w:ascii="Arial" w:hAnsi="Arial"/>
          <w:b/>
          <w:bCs/>
          <w:color w:val="000000"/>
          <w:sz w:val="19"/>
          <w:szCs w:val="19"/>
          <w:lang w:val="pt-BR" w:eastAsia="zh-CN" w:bidi="ar-SA"/>
        </w:rPr>
        <w:t>Eletrônico</w:t>
      </w:r>
      <w:r>
        <w:rPr>
          <w:rFonts w:cs="Verdana" w:ascii="Arial" w:hAnsi="Arial"/>
          <w:b/>
          <w:bCs/>
          <w:color w:val="000000"/>
          <w:sz w:val="19"/>
          <w:szCs w:val="19"/>
        </w:rPr>
        <w:t xml:space="preserve"> nº </w:t>
      </w:r>
      <w:r>
        <w:rPr>
          <w:rFonts w:cs="Verdana" w:ascii="Arial" w:hAnsi="Arial"/>
          <w:b/>
          <w:color w:val="000000"/>
          <w:sz w:val="19"/>
          <w:szCs w:val="19"/>
        </w:rPr>
        <w:t>/2025</w:t>
      </w:r>
      <w:r>
        <w:rPr>
          <w:rFonts w:cs="Verdana" w:ascii="Arial" w:hAnsi="Arial"/>
          <w:color w:val="000000"/>
          <w:sz w:val="19"/>
          <w:szCs w:val="19"/>
        </w:rPr>
        <w:t xml:space="preserve">, do tipo </w:t>
      </w:r>
      <w:r>
        <w:rPr>
          <w:rFonts w:cs="Verdana" w:ascii="Arial" w:hAnsi="Arial"/>
          <w:b/>
          <w:color w:val="000000"/>
          <w:sz w:val="19"/>
          <w:szCs w:val="19"/>
          <w:shd w:fill="auto" w:val="clear"/>
        </w:rPr>
        <w:t>Menor Preço Por Item</w:t>
      </w:r>
      <w:r>
        <w:rPr>
          <w:rFonts w:cs="Verdana" w:ascii="Arial" w:hAnsi="Arial"/>
          <w:color w:val="000000"/>
          <w:sz w:val="19"/>
          <w:szCs w:val="19"/>
          <w:shd w:fill="auto" w:val="clear"/>
        </w:rPr>
        <w:t xml:space="preserve">, </w:t>
      </w:r>
      <w:r>
        <w:rPr>
          <w:rFonts w:cs="Verdana" w:ascii="Arial" w:hAnsi="Arial"/>
          <w:color w:val="000000"/>
          <w:sz w:val="19"/>
          <w:szCs w:val="19"/>
        </w:rPr>
        <w:t xml:space="preserve">com base nas disposições aplicáveis da Lei Federal nº 14.133/2021, </w:t>
      </w:r>
      <w:r>
        <w:rPr>
          <w:rFonts w:cs="Arial-ItalicMT" w:ascii="Arial" w:hAnsi="Arial"/>
          <w:iCs/>
          <w:color w:val="000000"/>
          <w:sz w:val="19"/>
          <w:szCs w:val="19"/>
        </w:rPr>
        <w:t>Decreto Municipal n.º 31/2023</w:t>
      </w:r>
      <w:r>
        <w:rPr>
          <w:rFonts w:eastAsia="MS Mincho;ＭＳ 明朝" w:cs="Verdana" w:ascii="Arial" w:hAnsi="Arial"/>
          <w:color w:val="000000"/>
          <w:sz w:val="19"/>
          <w:szCs w:val="19"/>
          <w:lang w:eastAsia="pt-BR"/>
        </w:rPr>
        <w:t xml:space="preserve"> e demais legislações aplicáveis</w:t>
      </w:r>
      <w:r>
        <w:rPr>
          <w:rFonts w:eastAsia="MS Mincho;ＭＳ 明朝" w:cs="Arial" w:ascii="Arial" w:hAnsi="Arial"/>
          <w:color w:val="000000"/>
          <w:sz w:val="19"/>
          <w:szCs w:val="19"/>
          <w:lang w:eastAsia="pt-BR"/>
        </w:rPr>
        <w:t>:</w:t>
      </w:r>
    </w:p>
    <w:p>
      <w:pPr>
        <w:pStyle w:val="Normal"/>
        <w:numPr>
          <w:ilvl w:val="0"/>
          <w:numId w:val="0"/>
        </w:numPr>
        <w:overflowPunct w:val="true"/>
        <w:spacing w:lineRule="auto" w:line="240" w:before="31" w:after="62"/>
        <w:ind w:left="0" w:right="0" w:hanging="0"/>
        <w:jc w:val="both"/>
        <w:textAlignment w:val="baseline"/>
        <w:rPr>
          <w:rFonts w:ascii="Arial" w:hAnsi="Arial" w:eastAsia="MS Mincho;ＭＳ 明朝" w:cs="Arial"/>
          <w:color w:val="C9211E"/>
          <w:sz w:val="19"/>
          <w:szCs w:val="19"/>
          <w:lang w:eastAsia="pt-BR"/>
        </w:rPr>
      </w:pPr>
      <w:r>
        <w:rPr>
          <w:rFonts w:eastAsia="MS Mincho;ＭＳ 明朝" w:cs="Arial" w:ascii="Arial" w:hAnsi="Arial"/>
          <w:color w:val="C9211E"/>
          <w:sz w:val="19"/>
          <w:szCs w:val="19"/>
          <w:lang w:eastAsia="pt-BR"/>
        </w:rPr>
      </w:r>
    </w:p>
    <w:p>
      <w:pPr>
        <w:pStyle w:val="Normal"/>
        <w:numPr>
          <w:ilvl w:val="0"/>
          <w:numId w:val="9"/>
        </w:numPr>
        <w:overflowPunct w:val="true"/>
        <w:spacing w:lineRule="auto" w:line="240" w:before="31" w:after="62"/>
        <w:ind w:left="0" w:right="0" w:hanging="0"/>
        <w:jc w:val="both"/>
        <w:textAlignment w:val="baseline"/>
        <w:rPr>
          <w:rFonts w:ascii="Arial" w:hAnsi="Arial" w:cs="Verdana"/>
          <w:b/>
          <w:b/>
          <w:color w:val="000000"/>
          <w:sz w:val="19"/>
          <w:szCs w:val="19"/>
          <w:u w:val="single"/>
        </w:rPr>
      </w:pPr>
      <w:r>
        <w:rPr>
          <w:rFonts w:cs="Verdana" w:ascii="Arial" w:hAnsi="Arial"/>
          <w:b/>
          <w:color w:val="000000"/>
          <w:sz w:val="19"/>
          <w:szCs w:val="19"/>
          <w:u w:val="single"/>
        </w:rPr>
        <w:t>OBJETO</w:t>
      </w:r>
    </w:p>
    <w:p>
      <w:pPr>
        <w:pStyle w:val="Normal"/>
        <w:numPr>
          <w:ilvl w:val="1"/>
          <w:numId w:val="9"/>
        </w:numPr>
        <w:overflowPunct w:val="tru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objeto do presente termo é a </w:t>
      </w:r>
      <w:r>
        <w:rPr>
          <w:rFonts w:cs="Verdana" w:ascii="Arial" w:hAnsi="Arial"/>
          <w:b/>
          <w:bCs/>
          <w:color w:val="FF0000"/>
          <w:sz w:val="19"/>
          <w:szCs w:val="19"/>
          <w:shd w:fill="auto" w:val="clear"/>
        </w:rPr>
        <w:t>Aquisição de roçadeira hidráulica.</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 xml:space="preserve">Órgão participante do presente procedimento: </w:t>
      </w:r>
    </w:p>
    <w:tbl>
      <w:tblPr>
        <w:tblW w:w="9514" w:type="dxa"/>
        <w:jc w:val="left"/>
        <w:tblInd w:w="131" w:type="dxa"/>
        <w:tblLayout w:type="fixed"/>
        <w:tblCellMar>
          <w:top w:w="0" w:type="dxa"/>
          <w:left w:w="108" w:type="dxa"/>
          <w:bottom w:w="0" w:type="dxa"/>
          <w:right w:w="108" w:type="dxa"/>
        </w:tblCellMar>
      </w:tblPr>
      <w:tblGrid>
        <w:gridCol w:w="4693"/>
        <w:gridCol w:w="4820"/>
      </w:tblGrid>
      <w:tr>
        <w:trPr/>
        <w:tc>
          <w:tcPr>
            <w:tcW w:w="4693"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CENTRO DE CUSTO</w:t>
            </w:r>
          </w:p>
        </w:tc>
        <w:tc>
          <w:tcPr>
            <w:tcW w:w="4820"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CÓDIGO</w:t>
            </w:r>
          </w:p>
        </w:tc>
      </w:tr>
      <w:tr>
        <w:trPr/>
        <w:tc>
          <w:tcPr>
            <w:tcW w:w="469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SECRETARIA DE SERVIÇOS MUNICIPAIS</w:t>
            </w:r>
          </w:p>
        </w:tc>
        <w:tc>
          <w:tcPr>
            <w:tcW w:w="482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w:t>
            </w:r>
          </w:p>
        </w:tc>
      </w:tr>
    </w:tbl>
    <w:p>
      <w:pPr>
        <w:pStyle w:val="Normal"/>
        <w:numPr>
          <w:ilvl w:val="0"/>
          <w:numId w:val="0"/>
        </w:numPr>
        <w:overflowPunct w:val="true"/>
        <w:spacing w:lineRule="auto" w:line="240" w:before="57" w:after="0"/>
        <w:ind w:left="0" w:right="0" w:hanging="0"/>
        <w:jc w:val="both"/>
        <w:textAlignment w:val="baseline"/>
        <w:rPr>
          <w:rFonts w:ascii="Arial" w:hAnsi="Arial" w:cs="Verdana"/>
          <w:b/>
          <w:b/>
          <w:bCs/>
          <w:color w:val="C9211E"/>
          <w:sz w:val="19"/>
          <w:szCs w:val="19"/>
          <w:shd w:fill="auto" w:val="clear"/>
        </w:rPr>
      </w:pPr>
      <w:r>
        <w:rPr>
          <w:rFonts w:cs="Verdana" w:ascii="Arial" w:hAnsi="Arial"/>
          <w:b/>
          <w:bCs/>
          <w:color w:val="C9211E"/>
          <w:sz w:val="19"/>
          <w:szCs w:val="19"/>
          <w:shd w:fill="auto" w:val="clear"/>
        </w:rPr>
        <w:t>&lt;Itens_Contrato_Ata3&gt;</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Fazem parte integralmente do presente termo, as demais peças e documentos relevantes contidos no processo citado acima, independentemente de transcrição.</w:t>
      </w:r>
    </w:p>
    <w:p>
      <w:pPr>
        <w:pStyle w:val="Normal"/>
        <w:overflowPunct w:val="true"/>
        <w:spacing w:lineRule="auto" w:line="240" w:before="31" w:after="62"/>
        <w:ind w:left="0" w:right="0" w:hanging="0"/>
        <w:jc w:val="both"/>
        <w:textAlignment w:val="baseline"/>
        <w:rPr>
          <w:rFonts w:ascii="Arial" w:hAnsi="Arial" w:cs="Verdana"/>
          <w:color w:val="C9211E"/>
          <w:sz w:val="19"/>
          <w:szCs w:val="19"/>
        </w:rPr>
      </w:pPr>
      <w:r>
        <w:rPr>
          <w:rFonts w:cs="Verdana" w:ascii="Arial" w:hAnsi="Arial"/>
          <w:color w:val="C9211E"/>
          <w:sz w:val="19"/>
          <w:szCs w:val="19"/>
        </w:rPr>
      </w:r>
    </w:p>
    <w:p>
      <w:pPr>
        <w:pStyle w:val="Normal"/>
        <w:numPr>
          <w:ilvl w:val="0"/>
          <w:numId w:val="9"/>
        </w:numPr>
        <w:overflowPunct w:val="true"/>
        <w:spacing w:lineRule="auto" w:line="240" w:before="31" w:after="62"/>
        <w:ind w:left="0" w:right="0" w:hanging="0"/>
        <w:jc w:val="both"/>
        <w:textAlignment w:val="baseline"/>
        <w:rPr>
          <w:color w:val="000000"/>
          <w:shd w:fill="auto" w:val="clear"/>
        </w:rPr>
      </w:pPr>
      <w:r>
        <w:rPr>
          <w:rFonts w:cs="Verdana" w:ascii="Arial" w:hAnsi="Arial"/>
          <w:b/>
          <w:color w:val="000000"/>
          <w:sz w:val="19"/>
          <w:szCs w:val="19"/>
          <w:u w:val="single"/>
          <w:shd w:fill="auto" w:val="clear"/>
        </w:rPr>
        <w:t>DOS DIREITOS E RESPONSABILIDADES DAS PARTES</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CONTRATADA:</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O fornecimento de pessoal técnico e materiais necessários à fiel execução deste contrato.</w:t>
      </w:r>
    </w:p>
    <w:p>
      <w:pPr>
        <w:pStyle w:val="Normal"/>
        <w:numPr>
          <w:ilvl w:val="2"/>
          <w:numId w:val="9"/>
        </w:numPr>
        <w:overflowPunct w:val="true"/>
        <w:spacing w:lineRule="auto" w:line="240" w:before="31" w:after="62"/>
        <w:ind w:left="0" w:right="0" w:hanging="0"/>
        <w:jc w:val="both"/>
        <w:textAlignment w:val="baseline"/>
        <w:rPr>
          <w:rFonts w:ascii="Arial" w:hAnsi="Arial" w:cs="Verdana"/>
          <w:color w:val="C9211E"/>
          <w:sz w:val="19"/>
          <w:szCs w:val="19"/>
        </w:rPr>
      </w:pPr>
      <w:r>
        <w:rPr>
          <w:rFonts w:cs="Verdana" w:ascii="Arial" w:hAnsi="Arial"/>
          <w:color w:val="000000"/>
          <w:sz w:val="19"/>
          <w:szCs w:val="19"/>
        </w:rPr>
        <w:t>Assumir integralmente a responsabilidade pelos danos que causar a este Município ou a terceiros, por si ou por seus sucessores e representantes na execução do objeto desta licitação, isentando o Município de qualquer reclamação que possa surgir em decorrência do mesmo.</w:t>
      </w:r>
    </w:p>
    <w:p>
      <w:pPr>
        <w:pStyle w:val="Normal"/>
        <w:numPr>
          <w:ilvl w:val="2"/>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w:t>
      </w:r>
      <w:r>
        <w:rPr>
          <w:rFonts w:cs="Verdana" w:ascii="Arial" w:hAnsi="Arial"/>
          <w:color w:val="000000"/>
          <w:sz w:val="19"/>
          <w:szCs w:val="19"/>
          <w:shd w:fill="auto" w:val="clear"/>
        </w:rPr>
        <w:t>ssumir integralmente e exclusivamente todas as responsabilidades no que concerne às obrigações trabalhistas, previdenciários, fiscais, comerciais, inclusive no que diz respeito às normas de segurança no trabalho previstas na legislação específica, bem como demais encargos que porventura venham a incidir sobre o objeto desta licitação.</w:t>
      </w:r>
    </w:p>
    <w:p>
      <w:pPr>
        <w:pStyle w:val="Normal"/>
        <w:numPr>
          <w:ilvl w:val="3"/>
          <w:numId w:val="9"/>
        </w:numPr>
        <w:overflowPunct w:val="true"/>
        <w:spacing w:lineRule="auto" w:line="240" w:before="31" w:after="62"/>
        <w:ind w:left="283" w:right="0" w:hanging="0"/>
        <w:jc w:val="both"/>
        <w:textAlignment w:val="baseline"/>
        <w:rPr>
          <w:color w:val="000000"/>
          <w:shd w:fill="auto" w:val="clear"/>
        </w:rPr>
      </w:pPr>
      <w:r>
        <w:rPr>
          <w:rFonts w:ascii="Arial" w:hAnsi="Arial"/>
          <w:color w:val="000000"/>
          <w:sz w:val="19"/>
          <w:szCs w:val="19"/>
          <w:shd w:fill="auto" w:val="clear"/>
        </w:rPr>
        <w:t xml:space="preserve">A inadimplência do </w:t>
      </w:r>
      <w:r>
        <w:rPr>
          <w:rFonts w:ascii="Arial" w:hAnsi="Arial"/>
          <w:b/>
          <w:color w:val="000000"/>
          <w:sz w:val="19"/>
          <w:szCs w:val="19"/>
          <w:shd w:fill="auto" w:val="clear"/>
        </w:rPr>
        <w:t>Contratado</w:t>
      </w:r>
      <w:r>
        <w:rPr>
          <w:rFonts w:ascii="Arial" w:hAnsi="Arial"/>
          <w:color w:val="000000"/>
          <w:sz w:val="19"/>
          <w:szCs w:val="19"/>
          <w:shd w:fill="auto" w:val="clear"/>
        </w:rPr>
        <w:t xml:space="preserve">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do artigo 121 da Lei Federal nº 14.133/2021.</w:t>
      </w:r>
    </w:p>
    <w:p>
      <w:pPr>
        <w:pStyle w:val="Normal"/>
        <w:numPr>
          <w:ilvl w:val="2"/>
          <w:numId w:val="9"/>
        </w:numPr>
        <w:overflowPunct w:val="true"/>
        <w:spacing w:lineRule="auto" w:line="240" w:before="31" w:after="62"/>
        <w:ind w:left="0" w:right="0" w:hanging="0"/>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Cumprir as exigências de reserva de cargos prevista em lei, bem como em outras normas específicas, para pessoa com deficiência, para reabilitado da Previdência Social e para aprendiz.</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cs="Verdana" w:ascii="Arial" w:hAnsi="Arial"/>
          <w:color w:val="000000"/>
          <w:sz w:val="19"/>
          <w:szCs w:val="19"/>
          <w:shd w:fill="auto" w:val="clear"/>
        </w:rPr>
        <w:t>O fornecedor deverá, obrigatoriamente, emitir nota fiscal eletrônica (NF-e), conforme Norma de Procedimento Fiscal nº 095/2009 e alterações posteriores.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Na oportunidade da emissão da nota fiscal, deverá ser observada na própria nota (ou em relatório avulso anexo); as informações obrigatórias a entrega do item/lote identificando expressamente, quando for possível:</w:t>
      </w:r>
    </w:p>
    <w:p>
      <w:pPr>
        <w:pStyle w:val="Normal"/>
        <w:numPr>
          <w:ilvl w:val="0"/>
          <w:numId w:val="10"/>
        </w:numPr>
        <w:overflowPunct w:val="tru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Descrição completa do item, conforme descrito em contrato.</w:t>
      </w:r>
    </w:p>
    <w:p>
      <w:pPr>
        <w:pStyle w:val="Normal"/>
        <w:numPr>
          <w:ilvl w:val="0"/>
          <w:numId w:val="10"/>
        </w:numPr>
        <w:overflowPunct w:val="tru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Nome do Local, endereço e data de entrega.</w:t>
      </w:r>
    </w:p>
    <w:p>
      <w:pPr>
        <w:pStyle w:val="Normal"/>
        <w:numPr>
          <w:ilvl w:val="0"/>
          <w:numId w:val="10"/>
        </w:numPr>
        <w:overflowPunct w:val="tru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Número do Pregão e respectivo contrato.</w:t>
      </w:r>
    </w:p>
    <w:p>
      <w:pPr>
        <w:pStyle w:val="Normal"/>
        <w:numPr>
          <w:ilvl w:val="0"/>
          <w:numId w:val="10"/>
        </w:numPr>
        <w:overflowPunct w:val="tru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Número do empenho.</w:t>
      </w:r>
    </w:p>
    <w:p>
      <w:pPr>
        <w:pStyle w:val="Normal"/>
        <w:numPr>
          <w:ilvl w:val="1"/>
          <w:numId w:val="9"/>
        </w:numPr>
        <w:overflowPunct w:val="true"/>
        <w:spacing w:lineRule="auto" w:line="240" w:before="57" w:after="57"/>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CONTRATANTE</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Esclarecer prontamente as dúvidas administrativas e técnicas e divergências surgidas na execução do objeto contratado;</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Expedir, através de notificações e/ou relatório de vistoria, as ocorrências e fazer as determinações e comunicações necessárias à perfeita entrega de bens contratados;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Adotar as medidas preventivas de controle dos contratos, inclusive manifestar-se, de forma isolada ou conjunta com o Gestor do Contrato, a respeito da suspensão da entrega de bens.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Conferir e certificar as faturas relativas às aquisições;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Proceder as avaliações dos materiais entregues pela contratada;</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Determinar por todos os meios adequados a observância das normas técnicas e legais, especificações exigíveis para a perfeita execução do objeto;</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Receber designação e manter contato com o preposto da contratada, e se for necessário, promover reuniões periódicas ou especiais para a resolução de problemas na entrega dos bens.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Dar parecer técnico nos pedidos de alterações contratuais;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Verificar a correta aplicação dos materiais, quando aplicável;</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Requerer das empresas testes, exames e ensaios quando necessários, no sentido de promoção de controle de qualidade dos bens a serem adquiridos;</w:t>
      </w:r>
    </w:p>
    <w:p>
      <w:pPr>
        <w:pStyle w:val="Normal"/>
        <w:numPr>
          <w:ilvl w:val="0"/>
          <w:numId w:val="0"/>
        </w:numPr>
        <w:overflowPunct w:val="true"/>
        <w:spacing w:lineRule="auto" w:line="240" w:before="31" w:after="62"/>
        <w:ind w:left="0" w:right="0" w:hanging="0"/>
        <w:jc w:val="both"/>
        <w:textAlignment w:val="baseline"/>
        <w:rPr>
          <w:rFonts w:ascii="Arial" w:hAnsi="Arial"/>
          <w:color w:val="C9211E"/>
          <w:sz w:val="19"/>
          <w:szCs w:val="19"/>
          <w:shd w:fill="auto" w:val="clear"/>
        </w:rPr>
      </w:pPr>
      <w:r>
        <w:rPr>
          <w:rFonts w:ascii="Arial" w:hAnsi="Arial"/>
          <w:color w:val="C9211E"/>
          <w:sz w:val="19"/>
          <w:szCs w:val="19"/>
          <w:shd w:fill="auto" w:val="clear"/>
        </w:rPr>
      </w:r>
    </w:p>
    <w:p>
      <w:pPr>
        <w:pStyle w:val="Normal"/>
        <w:numPr>
          <w:ilvl w:val="0"/>
          <w:numId w:val="9"/>
        </w:numPr>
        <w:overflowPunct w:val="true"/>
        <w:spacing w:lineRule="auto" w:line="240" w:before="31" w:after="62"/>
        <w:ind w:left="0" w:right="0" w:hanging="0"/>
        <w:jc w:val="both"/>
        <w:textAlignment w:val="baseline"/>
        <w:rPr>
          <w:rFonts w:ascii="Arial" w:hAnsi="Arial" w:cs="ArialMT"/>
          <w:b/>
          <w:b/>
          <w:bCs/>
          <w:color w:val="000000"/>
          <w:sz w:val="19"/>
          <w:szCs w:val="19"/>
          <w:u w:val="single"/>
          <w:shd w:fill="auto" w:val="clear"/>
        </w:rPr>
      </w:pPr>
      <w:r>
        <w:rPr>
          <w:rFonts w:cs="ArialMT" w:ascii="Arial" w:hAnsi="Arial"/>
          <w:b/>
          <w:bCs/>
          <w:color w:val="000000"/>
          <w:sz w:val="19"/>
          <w:szCs w:val="19"/>
          <w:u w:val="single"/>
          <w:shd w:fill="auto" w:val="clear"/>
        </w:rPr>
        <w:t>DA GESTÃO DO CONTRATO E MATRIZ DE RISCO</w:t>
      </w:r>
    </w:p>
    <w:p>
      <w:pPr>
        <w:pStyle w:val="Normal"/>
        <w:numPr>
          <w:ilvl w:val="1"/>
          <w:numId w:val="9"/>
        </w:numPr>
        <w:overflowPunct w:val="tru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DA FISCALIZAÇÃO</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cs="Arial-ItalicMT" w:ascii="Arial" w:hAnsi="Arial"/>
          <w:iCs/>
          <w:color w:val="000000"/>
          <w:sz w:val="19"/>
          <w:szCs w:val="19"/>
          <w:shd w:fill="auto" w:val="clear"/>
        </w:rPr>
        <w:t>O acompanhamento e fiscalização do fornecimento de bens e materiais do presente contrato e demais atribuições descritas nos art. 8º e 9º do Decreto Municipal n.º 31/2023 serão realizados pelo seguinte fiscal de contrato</w:t>
      </w:r>
      <w:r>
        <w:rPr>
          <w:rFonts w:cs="Verdana" w:ascii="Arial" w:hAnsi="Arial"/>
          <w:iCs/>
          <w:color w:val="000000"/>
          <w:sz w:val="19"/>
          <w:szCs w:val="19"/>
          <w:shd w:fill="auto" w:val="clear"/>
        </w:rPr>
        <w:t>: João Paulo Maricato.</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cs="Arial-ItalicMT" w:ascii="Arial" w:hAnsi="Arial"/>
          <w:iCs/>
          <w:color w:val="000000"/>
          <w:sz w:val="19"/>
          <w:szCs w:val="19"/>
          <w:shd w:fill="auto" w:val="clear"/>
        </w:rPr>
        <w:t>As atribuições administrativas do presente contrato, especialmente as descritas no art. 7º do Decreto Municipal n.º 31/2023 serão realizadas pelo seguinte gestor de contrato</w:t>
      </w:r>
      <w:r>
        <w:rPr>
          <w:rFonts w:cs="Verdana" w:ascii="Arial" w:hAnsi="Arial"/>
          <w:iCs/>
          <w:color w:val="000000"/>
          <w:sz w:val="19"/>
          <w:szCs w:val="19"/>
          <w:shd w:fill="auto" w:val="clear"/>
        </w:rPr>
        <w:t>: Adriano Biggi.</w:t>
      </w:r>
    </w:p>
    <w:p>
      <w:pPr>
        <w:pStyle w:val="Normal"/>
        <w:numPr>
          <w:ilvl w:val="1"/>
          <w:numId w:val="9"/>
        </w:numPr>
        <w:overflowPunct w:val="true"/>
        <w:spacing w:lineRule="auto" w:line="240" w:before="31" w:after="62"/>
        <w:ind w:left="0" w:right="0" w:hanging="0"/>
        <w:jc w:val="both"/>
        <w:textAlignment w:val="baseline"/>
        <w:rPr>
          <w:rFonts w:ascii="Arial" w:hAnsi="Arial"/>
          <w:b w:val="false"/>
          <w:b w:val="false"/>
          <w:bCs w:val="false"/>
          <w:color w:val="000000"/>
          <w:sz w:val="19"/>
          <w:szCs w:val="19"/>
          <w:shd w:fill="auto" w:val="clear"/>
        </w:rPr>
      </w:pPr>
      <w:r>
        <w:rPr>
          <w:rFonts w:ascii="Arial" w:hAnsi="Arial"/>
          <w:b w:val="false"/>
          <w:bCs w:val="false"/>
          <w:color w:val="000000"/>
          <w:sz w:val="19"/>
          <w:szCs w:val="19"/>
          <w:shd w:fill="auto" w:val="clear"/>
        </w:rPr>
        <w:t>DAS CONDIÇÕES DE PAGAMENTO</w:t>
      </w:r>
    </w:p>
    <w:p>
      <w:pPr>
        <w:pStyle w:val="Normal"/>
        <w:numPr>
          <w:ilvl w:val="2"/>
          <w:numId w:val="9"/>
        </w:numPr>
        <w:spacing w:lineRule="auto" w:line="240" w:before="31" w:after="62"/>
        <w:ind w:left="0" w:right="0" w:hanging="0"/>
        <w:jc w:val="both"/>
        <w:rPr>
          <w:rFonts w:ascii="Arial" w:hAnsi="Arial" w:cs="Verdana"/>
          <w:color w:val="000000"/>
          <w:sz w:val="19"/>
          <w:szCs w:val="19"/>
        </w:rPr>
      </w:pPr>
      <w:r>
        <w:rPr>
          <w:rFonts w:cs="Verdana" w:ascii="Arial" w:hAnsi="Arial"/>
          <w:color w:val="000000"/>
          <w:sz w:val="19"/>
          <w:szCs w:val="19"/>
        </w:rPr>
        <w:t xml:space="preserve">O pagamento será efetuado em até </w:t>
      </w:r>
      <w:r>
        <w:rPr>
          <w:rFonts w:cs="Verdana" w:ascii="Arial" w:hAnsi="Arial"/>
          <w:b/>
          <w:bCs/>
          <w:color w:val="000000"/>
          <w:sz w:val="19"/>
          <w:szCs w:val="19"/>
        </w:rPr>
        <w:t>10 dias úteis após a entrega da Nota Fiscal</w:t>
      </w:r>
      <w:r>
        <w:rPr>
          <w:rFonts w:cs="Verdana" w:ascii="Arial" w:hAnsi="Arial"/>
          <w:color w:val="000000"/>
          <w:sz w:val="19"/>
          <w:szCs w:val="19"/>
        </w:rPr>
        <w:t xml:space="preserve">, após conferência quantitativa e qualitativa pela Divisão responsável pelo recebimento, com base nos preços unitários apresentados na proposta/lance e mediante a verificação de regularidade ou apresentação dos seguintes documentos: </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Prova de regularidade relativo aos Débitos Relativos aos Tributos Federais e à Dívida Ativa da União;</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Prova de regularidade relativo aos Débitos da Fazenda Estadual do domicílio da empresa;</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Prova de regularidade relativo aos Débitos Municipais, e caso exista filial no Município de Cianorte a Certidão Negativa desta também deverá ser apresentada;</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 xml:space="preserve">Prova de regularidade relativo de FGTS; </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 xml:space="preserve">Prova de regularidade relativo aos Débitos Trabalhistas (CNDT); </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Situação perante o Cadastro Nacional de Pessoas Jurídicas do Ministério da Fazenda (Cartão CNPJ).</w:t>
      </w:r>
    </w:p>
    <w:p>
      <w:pPr>
        <w:pStyle w:val="Normal"/>
        <w:numPr>
          <w:ilvl w:val="2"/>
          <w:numId w:val="9"/>
        </w:numPr>
        <w:spacing w:lineRule="auto" w:line="240" w:before="31" w:after="62"/>
        <w:ind w:left="0" w:right="0" w:hanging="0"/>
        <w:jc w:val="both"/>
        <w:rPr>
          <w:rFonts w:ascii="Arial" w:hAnsi="Arial"/>
          <w:color w:val="000000"/>
          <w:sz w:val="19"/>
          <w:szCs w:val="19"/>
        </w:rPr>
      </w:pPr>
      <w:r>
        <w:rPr>
          <w:rFonts w:ascii="Arial" w:hAnsi="Arial"/>
          <w:color w:val="000000"/>
          <w:sz w:val="19"/>
          <w:szCs w:val="19"/>
        </w:rPr>
        <w:t>A compensação financeira é admitida nos casos de eventuais atrasos de pagamento pela Administração, desde que o contratado não tenha concorrido de alguma forma para o atraso. É devida desde a data limite fixada no contrato para o pagamento até a data correspondente ao efetivo pagamento da parcela.</w:t>
      </w:r>
    </w:p>
    <w:p>
      <w:pPr>
        <w:pStyle w:val="Normal"/>
        <w:numPr>
          <w:ilvl w:val="2"/>
          <w:numId w:val="9"/>
        </w:numPr>
        <w:spacing w:lineRule="auto" w:line="240" w:before="31" w:after="62"/>
        <w:ind w:left="0" w:right="0" w:hanging="0"/>
        <w:jc w:val="both"/>
        <w:rPr>
          <w:rFonts w:ascii="Arial" w:hAnsi="Arial"/>
          <w:color w:val="000000"/>
          <w:sz w:val="19"/>
          <w:szCs w:val="19"/>
        </w:rPr>
      </w:pPr>
      <w:r>
        <w:rPr>
          <w:rFonts w:ascii="Arial" w:hAnsi="Arial"/>
          <w:color w:val="000000"/>
          <w:sz w:val="19"/>
          <w:szCs w:val="19"/>
        </w:rPr>
        <w:t>Os encargos moratórios devidos em razão do atraso no pagamento poderão ser calculados com utilização da seguinte fórmula: EM = N x VP x I, Onde: EM = Encargos moratórios; N = Número de dias entre a data prevista para o pagamento e a do efetivo pagamento; VP = Valor da parcela a ser paga; I = Índice de compensação financeira, assim apurado: I = (TX/100)/365; TX = Percentual da taxa anual do IPCA – Índice de Preços ao Consumidor Ampliado, do IBGE</w:t>
      </w:r>
    </w:p>
    <w:p>
      <w:pPr>
        <w:pStyle w:val="Normal"/>
        <w:numPr>
          <w:ilvl w:val="1"/>
          <w:numId w:val="9"/>
        </w:numPr>
        <w:spacing w:lineRule="auto" w:line="240" w:before="31" w:after="62"/>
        <w:ind w:left="0" w:right="0" w:hanging="0"/>
        <w:jc w:val="both"/>
        <w:rPr>
          <w:rFonts w:ascii="Arial" w:hAnsi="Arial"/>
          <w:color w:val="000000"/>
          <w:sz w:val="19"/>
          <w:szCs w:val="19"/>
        </w:rPr>
      </w:pPr>
      <w:r>
        <w:rPr>
          <w:rFonts w:ascii="Arial" w:hAnsi="Arial"/>
          <w:color w:val="000000"/>
          <w:sz w:val="19"/>
          <w:szCs w:val="19"/>
        </w:rPr>
        <w:t xml:space="preserve">A Contratada deverá manter durante a execução do contrato todas as condições de habilitação exigidas na licitação que deu origem ao presente instrumento (inciso XVI, art. 92 da Lei Federal nº 14.133/2021 e suas </w:t>
      </w:r>
      <w:r>
        <w:rPr>
          <w:rFonts w:ascii="Arial" w:hAnsi="Arial"/>
          <w:color w:val="000000"/>
          <w:sz w:val="19"/>
          <w:szCs w:val="19"/>
          <w:shd w:fill="auto" w:val="clear"/>
        </w:rPr>
        <w:t>alterações).</w:t>
      </w:r>
    </w:p>
    <w:p>
      <w:pPr>
        <w:pStyle w:val="Normal"/>
        <w:numPr>
          <w:ilvl w:val="1"/>
          <w:numId w:val="9"/>
        </w:numPr>
        <w:spacing w:lineRule="auto" w:line="240" w:before="31" w:after="62"/>
        <w:ind w:left="0" w:right="0" w:hanging="0"/>
        <w:jc w:val="both"/>
        <w:rPr>
          <w:rFonts w:ascii="Arial" w:hAnsi="Arial"/>
          <w:color w:val="000000"/>
          <w:sz w:val="19"/>
          <w:szCs w:val="19"/>
          <w:shd w:fill="auto" w:val="clear"/>
        </w:rPr>
      </w:pPr>
      <w:r>
        <w:rPr>
          <w:rFonts w:ascii="Arial" w:hAnsi="Arial"/>
          <w:color w:val="000000"/>
          <w:sz w:val="19"/>
          <w:szCs w:val="19"/>
          <w:shd w:fill="auto" w:val="clear"/>
        </w:rPr>
        <w:t>Durante a vigência do Contrato, os preços serão fixos e irreajustáveis, exceto nas hipóteses, devidamente comprovadas e previstas na Lei n.º 14.133/2021,ou ainda terá direito a reajuste contratual a partir de 12 meses contados da data do orçamento estimativo, desde que, em caso de atraso do cronograma de execução do objeto, este não seja atribuído a CONTRATADA, devendo a mesma solicitar ao Município, aplicando-se a data do pedido.</w:t>
      </w:r>
    </w:p>
    <w:p>
      <w:pPr>
        <w:pStyle w:val="Normal"/>
        <w:numPr>
          <w:ilvl w:val="1"/>
          <w:numId w:val="9"/>
        </w:numPr>
        <w:spacing w:lineRule="auto" w:line="240" w:before="31" w:after="62"/>
        <w:ind w:left="0" w:right="0" w:hanging="0"/>
        <w:jc w:val="both"/>
        <w:rPr>
          <w:rFonts w:ascii="Arial" w:hAnsi="Arial"/>
          <w:color w:val="000000"/>
          <w:sz w:val="19"/>
          <w:szCs w:val="19"/>
          <w:shd w:fill="auto" w:val="clear"/>
        </w:rPr>
      </w:pPr>
      <w:r>
        <w:rPr>
          <w:rFonts w:ascii="Arial" w:hAnsi="Arial"/>
          <w:color w:val="000000"/>
          <w:sz w:val="19"/>
          <w:szCs w:val="19"/>
          <w:shd w:fill="auto" w:val="clear"/>
        </w:rPr>
        <w:t>Caso ocorra o estabelecido na cláusula anterior, as partes poderão a partir de 12 meses, contados a partir da data do orçamento estimativo, reajustar o valor contratual de acordo com o índice IPCA - (Índice Nacional de Preços ao Consumidor Amplo) ou na falta deste, por outro índice de preços oficial que reflita a variação dos preços no período do reajuste. O índice será, necessariamente, aplicado somente sobre o saldo contratual existente na data do pedido, considerando a variação entre o mês em que foi estabelecido o orçamento estimativo e o mês de aniversário da mesma.</w:t>
      </w:r>
    </w:p>
    <w:p>
      <w:pPr>
        <w:pStyle w:val="Normal"/>
        <w:numPr>
          <w:ilvl w:val="1"/>
          <w:numId w:val="9"/>
        </w:numPr>
        <w:spacing w:lineRule="auto" w:line="240" w:before="31" w:after="62"/>
        <w:ind w:left="0" w:right="0" w:hanging="0"/>
        <w:jc w:val="both"/>
        <w:rPr>
          <w:rFonts w:ascii="Arial" w:hAnsi="Arial"/>
          <w:color w:val="000000"/>
          <w:sz w:val="19"/>
          <w:szCs w:val="19"/>
          <w:shd w:fill="auto" w:val="clear"/>
        </w:rPr>
      </w:pPr>
      <w:r>
        <w:rPr>
          <w:rFonts w:ascii="Arial" w:hAnsi="Arial"/>
          <w:color w:val="000000"/>
          <w:sz w:val="19"/>
          <w:szCs w:val="19"/>
          <w:shd w:fill="auto" w:val="clear"/>
        </w:rPr>
        <w:t>O orçamento estimado do presente processo está agrupado no documento de Pedido de Início de Processo Licitatório cuja data de elaboração servirá de base para os possíveis reajustes descritos na cláusula anterior.</w:t>
      </w:r>
    </w:p>
    <w:p>
      <w:pPr>
        <w:pStyle w:val="Normal"/>
        <w:numPr>
          <w:ilvl w:val="1"/>
          <w:numId w:val="9"/>
        </w:numPr>
        <w:overflowPunct w:val="true"/>
        <w:spacing w:lineRule="auto" w:line="240" w:before="31" w:after="62"/>
        <w:ind w:left="0" w:right="0" w:hanging="0"/>
        <w:jc w:val="both"/>
        <w:textAlignment w:val="baseline"/>
        <w:rPr>
          <w:rFonts w:ascii="Arial" w:hAnsi="Arial"/>
          <w:b w:val="false"/>
          <w:b w:val="false"/>
          <w:bCs w:val="false"/>
          <w:color w:val="C9211E"/>
          <w:sz w:val="19"/>
          <w:szCs w:val="19"/>
          <w:u w:val="none"/>
        </w:rPr>
      </w:pPr>
      <w:r>
        <w:rPr>
          <w:rFonts w:ascii="Arial" w:hAnsi="Arial"/>
          <w:b w:val="false"/>
          <w:bCs w:val="false"/>
          <w:color w:val="000000"/>
          <w:sz w:val="19"/>
          <w:szCs w:val="19"/>
          <w:u w:val="none"/>
        </w:rPr>
        <w:t>DA FORMA DE FORNECIMENTO</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eastAsia="Arial" w:cs="ArialMT" w:ascii="Arial" w:hAnsi="Arial"/>
          <w:b/>
          <w:bCs/>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A empresa contratada deverá entregar os produtos no prazo de 10 dias úteis, na Secretaria Municipal de Obras e Serviços Públicos, Av. Rio Branco nº 1.350 em Cianorte – PR.</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eastAsia="Arial" w:cs="ArialMT" w:ascii="Arial" w:hAnsi="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 xml:space="preserve">Caso não seja possível a entrega na data assinalada, a empresa deverá comunicar as razões respectivas com pelo menos 7 dias de antecedência para que qualquer pleito de prorrogação de prazo seja analisado, ressalvadas situações de caso fortuito e força maior. </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O Recebimento do objeto será realizado:</w:t>
      </w:r>
    </w:p>
    <w:p>
      <w:pPr>
        <w:pStyle w:val="Normal"/>
        <w:numPr>
          <w:ilvl w:val="5"/>
          <w:numId w:val="9"/>
        </w:numPr>
        <w:overflowPunct w:val="true"/>
        <w:spacing w:lineRule="auto" w:line="240" w:before="31" w:after="62"/>
        <w:ind w:left="680" w:right="0" w:hanging="0"/>
        <w:jc w:val="both"/>
        <w:textAlignment w:val="baseline"/>
        <w:rPr>
          <w:rFonts w:ascii="Arial" w:hAnsi="Arial"/>
          <w:color w:val="000000"/>
          <w:sz w:val="19"/>
          <w:szCs w:val="19"/>
        </w:rPr>
      </w:pPr>
      <w:r>
        <w:rPr>
          <w:rFonts w:ascii="Arial" w:hAnsi="Arial"/>
          <w:color w:val="000000"/>
          <w:sz w:val="19"/>
          <w:szCs w:val="19"/>
        </w:rPr>
        <w:t>Provisoriamente, de forma sumária, pelo fiscal de contrato ou servidor designado pelo Chefe imediato/Secretário Municipal, com verificação posterior da conformidade do material com as exigências contratuais;</w:t>
      </w:r>
    </w:p>
    <w:p>
      <w:pPr>
        <w:pStyle w:val="Normal"/>
        <w:numPr>
          <w:ilvl w:val="5"/>
          <w:numId w:val="9"/>
        </w:numPr>
        <w:overflowPunct w:val="true"/>
        <w:spacing w:lineRule="auto" w:line="240" w:before="31" w:after="62"/>
        <w:ind w:left="680" w:right="0" w:hanging="0"/>
        <w:jc w:val="both"/>
        <w:textAlignment w:val="baseline"/>
        <w:rPr>
          <w:rFonts w:ascii="Arial" w:hAnsi="Arial"/>
          <w:color w:val="000000"/>
          <w:sz w:val="19"/>
          <w:szCs w:val="19"/>
        </w:rPr>
      </w:pPr>
      <w:r>
        <w:rPr>
          <w:rFonts w:ascii="Arial" w:hAnsi="Arial"/>
          <w:color w:val="000000"/>
          <w:sz w:val="19"/>
          <w:szCs w:val="19"/>
        </w:rPr>
        <w:t xml:space="preserve">Definitivamente, pelo fiscal de contrato ou servidor designado pelo Chefe imediato/Secretário Municipal, mediante termo detalhado que comprove o atendimento das exigências contratuais. </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O recebimento provisório ou definitivo não excluirá a responsabilidade civil pela solidez e pela segurança material nem a responsabilidade ético-profissional pela perfeita execução do contrato, nos limites estabelecidos pela lei ou pelo contrato.</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 xml:space="preserve">O objeto do contrato poderá ser rejeitado, no todo ou em parte, quando estiver em desacordo com as especificações constantes </w:t>
      </w:r>
      <w:r>
        <w:rPr>
          <w:rFonts w:ascii="Arial" w:hAnsi="Arial"/>
          <w:b w:val="false"/>
          <w:bCs w:val="false"/>
          <w:color w:val="000000"/>
          <w:sz w:val="19"/>
          <w:szCs w:val="19"/>
          <w:shd w:fill="auto" w:val="clear"/>
        </w:rPr>
        <w:t>do Edital, da Proposta, do Contrato ou demais anexos,</w:t>
      </w:r>
      <w:r>
        <w:rPr>
          <w:rFonts w:ascii="Arial" w:hAnsi="Arial"/>
          <w:color w:val="000000"/>
          <w:sz w:val="19"/>
          <w:szCs w:val="19"/>
        </w:rPr>
        <w:t xml:space="preserve"> podendo ser fixado pelo fiscal do contrato, avaliado o caso concreto, um prazo para a substituição do bem, às custas do contratado, e sem prejuízo da aplicação das penalidades.</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rPr>
      </w:pPr>
      <w:r>
        <w:rPr>
          <w:rFonts w:cs="Arial-BoldMT" w:ascii="Arial" w:hAnsi="Arial"/>
          <w:b w:val="false"/>
          <w:bCs w:val="false"/>
          <w:color w:val="000000"/>
          <w:sz w:val="19"/>
          <w:szCs w:val="19"/>
          <w:shd w:fill="auto" w:val="clear"/>
        </w:rPr>
        <w:t xml:space="preserve">Fazendo-se a opção pelo recebimento provisório, que terá prazo de 5 dias, o recebimento definitivo será feito após a verificação da qualidade dos mesmos, e consequentemente aceito, no prazo de 5 dias a contar do término do recebimento provisório. </w:t>
      </w:r>
    </w:p>
    <w:p>
      <w:pPr>
        <w:pStyle w:val="Normal"/>
        <w:numPr>
          <w:ilvl w:val="2"/>
          <w:numId w:val="9"/>
        </w:numPr>
        <w:overflowPunct w:val="tru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Deverá ser observada a garantia previstas nos termos do Código de Defesa do Consumidor ou o prazo apontado pelas Secretarias interessadas no descritivo de cada item/lote.</w:t>
      </w:r>
    </w:p>
    <w:p>
      <w:pPr>
        <w:pStyle w:val="Normal"/>
        <w:numPr>
          <w:ilvl w:val="1"/>
          <w:numId w:val="9"/>
        </w:numPr>
        <w:overflowPunct w:val="true"/>
        <w:spacing w:lineRule="auto" w:line="240" w:before="31" w:after="62"/>
        <w:ind w:left="0" w:right="0" w:hanging="0"/>
        <w:jc w:val="both"/>
        <w:textAlignment w:val="baseline"/>
        <w:rPr>
          <w:rFonts w:ascii="Arial" w:hAnsi="Arial" w:cs="Verdana"/>
          <w:b w:val="false"/>
          <w:b w:val="false"/>
          <w:bCs w:val="false"/>
          <w:color w:val="000000"/>
          <w:sz w:val="19"/>
          <w:szCs w:val="19"/>
          <w:u w:val="none"/>
        </w:rPr>
      </w:pPr>
      <w:r>
        <w:rPr>
          <w:rFonts w:cs="Verdana" w:ascii="Arial" w:hAnsi="Arial"/>
          <w:b w:val="false"/>
          <w:bCs w:val="false"/>
          <w:color w:val="000000"/>
          <w:sz w:val="19"/>
          <w:szCs w:val="19"/>
          <w:u w:val="none"/>
        </w:rPr>
        <w:t>DAS INFRAÇÕES E PENALIDADES</w:t>
      </w:r>
    </w:p>
    <w:p>
      <w:pPr>
        <w:pStyle w:val="Normal"/>
        <w:widowControl/>
        <w:numPr>
          <w:ilvl w:val="2"/>
          <w:numId w:val="9"/>
        </w:numPr>
        <w:tabs>
          <w:tab w:val="clear" w:pos="709"/>
          <w:tab w:val="left" w:pos="-60" w:leader="none"/>
        </w:tabs>
        <w:spacing w:lineRule="auto" w:line="240" w:before="31" w:after="62"/>
        <w:ind w:left="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O licitante ou o contratado será responsabilizado administrativamente pelas seguintes infrações previstas no art. 155 da Lei n.º 14.133/2021:</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Dar causa à inexecução parcial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Dar causa à inexecução parcial do contrato que cause grave dano à Administração, ao funcionamento dos serviços públicos ou ao interesse coletivo;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Dar causa à inexecução total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Deixar de entregar a documentação exigida para o certame;</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Não manter a proposta, salvo em decorrência de fato superveniente devidamente justificado;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Não celebrar o contrato ou não entregar a documentação exigida para a contratação, quando convocado dentro do prazo de validade de sua proposta;</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Ensejar o retardamento da execução ou da entrega do objeto da licitação sem motivo justificado;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Apresentar declaração ou documentação falsa exigida para o certame ou prestar declaração falsa durante a licitação ou a execução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Fraudar a licitação ou praticar ato fraudulento na execução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Comportar-se de modo inidôneo ou cometer fraude de qualquer natureza;</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Praticar atos ilícitos com vistas a frustrar os objetivos da licitação;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Praticar ato lesivo previsto no art. 5º da Lei nº 12.846, de 1º de agosto de 2013.</w:t>
      </w:r>
    </w:p>
    <w:p>
      <w:pPr>
        <w:pStyle w:val="Corpodotexto"/>
        <w:numPr>
          <w:ilvl w:val="2"/>
          <w:numId w:val="9"/>
        </w:numPr>
        <w:spacing w:lineRule="auto" w:line="240" w:before="31" w:after="62"/>
        <w:ind w:left="0" w:right="0" w:hanging="0"/>
        <w:jc w:val="both"/>
        <w:rPr>
          <w:color w:val="000000"/>
          <w:shd w:fill="auto" w:val="clear"/>
        </w:rPr>
      </w:pPr>
      <w:r>
        <w:rPr>
          <w:color w:val="000000"/>
          <w:sz w:val="19"/>
          <w:szCs w:val="19"/>
          <w:shd w:fill="auto" w:val="clear"/>
        </w:rPr>
        <w:t xml:space="preserve"> </w:t>
      </w:r>
      <w:r>
        <w:rPr>
          <w:b w:val="false"/>
          <w:i w:val="false"/>
          <w:caps w:val="false"/>
          <w:smallCaps w:val="false"/>
          <w:color w:val="000000"/>
          <w:spacing w:val="0"/>
          <w:sz w:val="19"/>
          <w:szCs w:val="19"/>
          <w:shd w:fill="auto" w:val="clear"/>
        </w:rPr>
        <w:t>Serão aplicadas ao responsável pelas infrações administrativas previstas nesta Lei as seguintes sanções:</w:t>
      </w:r>
    </w:p>
    <w:p>
      <w:pPr>
        <w:pStyle w:val="Corpodotexto"/>
        <w:widowControl/>
        <w:numPr>
          <w:ilvl w:val="4"/>
          <w:numId w:val="9"/>
        </w:numPr>
        <w:spacing w:lineRule="auto" w:line="240" w:before="31" w:after="62"/>
        <w:ind w:left="680" w:right="0" w:hanging="0"/>
        <w:jc w:val="both"/>
        <w:rPr>
          <w:rFonts w:ascii="Arial" w:hAnsi="Arial"/>
          <w:b w:val="false"/>
          <w:b w:val="false"/>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Advertência:</w:t>
      </w:r>
      <w:r>
        <w:rPr>
          <w:b w:val="false"/>
          <w:i w:val="false"/>
          <w:caps w:val="false"/>
          <w:smallCaps w:val="false"/>
          <w:color w:val="000000"/>
          <w:spacing w:val="0"/>
          <w:sz w:val="19"/>
          <w:szCs w:val="19"/>
          <w:shd w:fill="auto" w:val="clear"/>
        </w:rPr>
        <w:t xml:space="preserve"> </w:t>
      </w:r>
    </w:p>
    <w:p>
      <w:pPr>
        <w:pStyle w:val="Corpodotexto"/>
        <w:widowControl/>
        <w:numPr>
          <w:ilvl w:val="0"/>
          <w:numId w:val="0"/>
        </w:numPr>
        <w:spacing w:lineRule="auto" w:line="240" w:before="31" w:after="62"/>
        <w:ind w:left="907" w:right="0" w:hanging="0"/>
        <w:jc w:val="both"/>
        <w:rPr>
          <w:rFonts w:ascii="Arial" w:hAnsi="Arial"/>
          <w:b w:val="false"/>
          <w:b w:val="false"/>
          <w:i w:val="false"/>
          <w:i w:val="false"/>
          <w:caps w:val="false"/>
          <w:smallCaps w:val="false"/>
          <w:color w:val="000000"/>
          <w:spacing w:val="0"/>
          <w:sz w:val="19"/>
          <w:szCs w:val="19"/>
          <w:shd w:fill="auto" w:val="clear"/>
        </w:rPr>
      </w:pPr>
      <w:r>
        <w:rPr>
          <w:rFonts w:cs="ArialMT"/>
          <w:b w:val="false"/>
          <w:bCs/>
          <w:i w:val="false"/>
          <w:caps w:val="false"/>
          <w:smallCaps w:val="false"/>
          <w:color w:val="000000"/>
          <w:spacing w:val="0"/>
          <w:sz w:val="19"/>
          <w:szCs w:val="19"/>
          <w:shd w:fill="auto" w:val="clear"/>
        </w:rPr>
        <w:t xml:space="preserve">– </w:t>
      </w:r>
      <w:r>
        <w:rPr>
          <w:b w:val="false"/>
          <w:i w:val="false"/>
          <w:caps w:val="false"/>
          <w:smallCaps w:val="false"/>
          <w:color w:val="000000"/>
          <w:spacing w:val="0"/>
          <w:sz w:val="19"/>
          <w:szCs w:val="19"/>
          <w:shd w:fill="auto" w:val="clear"/>
        </w:rPr>
        <w:t>Aplicada exclusivamente pela infração administrativa prevista no inciso I do caput do art. 155 da Lei n.º 14.133/2021, quando não se justificar a imposição de penalidade mais grave.</w:t>
      </w:r>
    </w:p>
    <w:p>
      <w:pPr>
        <w:pStyle w:val="Corpodotexto"/>
        <w:widowControl/>
        <w:numPr>
          <w:ilvl w:val="4"/>
          <w:numId w:val="9"/>
        </w:numPr>
        <w:spacing w:lineRule="auto" w:line="240" w:before="31" w:after="62"/>
        <w:ind w:left="680" w:right="0" w:hanging="0"/>
        <w:jc w:val="both"/>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Multa:</w:t>
      </w:r>
    </w:p>
    <w:p>
      <w:pPr>
        <w:pStyle w:val="Normal"/>
        <w:widowControl/>
        <w:numPr>
          <w:ilvl w:val="0"/>
          <w:numId w:val="0"/>
        </w:numPr>
        <w:spacing w:lineRule="auto" w:line="240" w:before="31" w:after="62"/>
        <w:ind w:left="851"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ascii="Arial" w:hAnsi="Arial"/>
          <w:b w:val="false"/>
          <w:bCs w:val="false"/>
          <w:i w:val="false"/>
          <w:caps w:val="false"/>
          <w:smallCaps w:val="false"/>
          <w:color w:val="000000"/>
          <w:spacing w:val="0"/>
          <w:sz w:val="19"/>
          <w:szCs w:val="19"/>
          <w:shd w:fill="auto" w:val="clear"/>
        </w:rPr>
        <w:t>- Compensatória de 20% sobre o valor total do contrato, no caso de inexecução total do objeto.</w:t>
      </w:r>
    </w:p>
    <w:p>
      <w:pPr>
        <w:pStyle w:val="Corpodotexto"/>
        <w:widowControl/>
        <w:numPr>
          <w:ilvl w:val="0"/>
          <w:numId w:val="0"/>
        </w:numPr>
        <w:spacing w:lineRule="auto" w:line="240" w:before="31" w:after="62"/>
        <w:ind w:left="851"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Compensatória de 10% sobre o valor total do contrato, no caso de inexecução parcial do objeto.</w:t>
      </w:r>
    </w:p>
    <w:p>
      <w:pPr>
        <w:pStyle w:val="Corpodotexto"/>
        <w:widowControl/>
        <w:numPr>
          <w:ilvl w:val="0"/>
          <w:numId w:val="0"/>
        </w:numPr>
        <w:tabs>
          <w:tab w:val="clear" w:pos="709"/>
          <w:tab w:val="left" w:pos="230" w:leader="none"/>
        </w:tabs>
        <w:spacing w:lineRule="auto" w:line="240" w:before="31" w:after="62"/>
        <w:ind w:left="851"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Moratória de 0,5% por dia sobre o valor total do contrato, limitado ao máximo de 10% do valor do mesmo, pelo atraso ou demora injustificados para a entrega dos itens/lotes ofertados. A aplicação de multa de mora não impedirá que a Administração a converta em compensatória e promova a extinção unilateral do contrato com a aplicação cumulada de outras sanções previstas nesta Lei.</w:t>
      </w:r>
    </w:p>
    <w:p>
      <w:pPr>
        <w:pStyle w:val="Corpodotexto"/>
        <w:widowControl/>
        <w:numPr>
          <w:ilvl w:val="4"/>
          <w:numId w:val="9"/>
        </w:numPr>
        <w:spacing w:lineRule="auto" w:line="240" w:before="31" w:after="62"/>
        <w:ind w:left="737" w:right="0" w:hanging="0"/>
        <w:jc w:val="both"/>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Impedimento de licitar e contratar:</w:t>
      </w:r>
    </w:p>
    <w:p>
      <w:pPr>
        <w:pStyle w:val="Corpodotexto"/>
        <w:widowControl/>
        <w:numPr>
          <w:ilvl w:val="0"/>
          <w:numId w:val="0"/>
        </w:numPr>
        <w:spacing w:lineRule="auto" w:line="240" w:before="31" w:after="62"/>
        <w:ind w:left="907"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pPr>
        <w:pStyle w:val="Corpodotexto"/>
        <w:widowControl/>
        <w:numPr>
          <w:ilvl w:val="4"/>
          <w:numId w:val="9"/>
        </w:numPr>
        <w:spacing w:lineRule="auto" w:line="240" w:before="31" w:after="62"/>
        <w:ind w:left="680" w:right="0" w:hanging="0"/>
        <w:jc w:val="both"/>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Declaração de inidoneidade para licitar ou contratar:</w:t>
      </w:r>
    </w:p>
    <w:p>
      <w:pPr>
        <w:pStyle w:val="Corpodotexto"/>
        <w:widowControl/>
        <w:numPr>
          <w:ilvl w:val="0"/>
          <w:numId w:val="0"/>
        </w:numPr>
        <w:spacing w:lineRule="auto" w:line="240" w:before="31" w:after="62"/>
        <w:ind w:left="907" w:right="0" w:hanging="0"/>
        <w:jc w:val="both"/>
        <w:rPr>
          <w:rFonts w:ascii="Arial" w:hAnsi="Arial"/>
          <w:color w:val="000000"/>
          <w:sz w:val="19"/>
          <w:szCs w:val="19"/>
          <w:shd w:fill="auto" w:val="clear"/>
        </w:rPr>
      </w:pPr>
      <w:r>
        <w:rPr>
          <w:rFonts w:cs="ArialMT"/>
          <w:b/>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de impedimento de licitar e contratar disposto no item “4.8.2, inciso III” e impedirá o responsável de licitar ou contratar no âmbito da Administração Pública direta e indireta de todos os entes federativos, pelo prazo mínimo de 3 (três) anos e máximo de 6 (seis) anos</w:t>
      </w:r>
      <w:r>
        <w:rPr>
          <w:b w:val="false"/>
          <w:bCs w:val="false"/>
          <w:i w:val="false"/>
          <w:caps w:val="false"/>
          <w:smallCaps w:val="false"/>
          <w:color w:val="000000"/>
          <w:spacing w:val="0"/>
          <w:sz w:val="19"/>
          <w:szCs w:val="19"/>
          <w:shd w:fill="auto" w:val="clear"/>
        </w:rPr>
        <w:t xml:space="preserve">. </w:t>
      </w:r>
    </w:p>
    <w:p>
      <w:pPr>
        <w:pStyle w:val="Corpodotexto"/>
        <w:widowControl/>
        <w:numPr>
          <w:ilvl w:val="2"/>
          <w:numId w:val="9"/>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As sanções previstas nos “incisos I, III e IV do caput do art. 156 da Lei n.º 14.133/2021, poderão ser aplicadas cumulativamente com as multas previstas no inciso II do mesmo artigo.</w:t>
      </w:r>
    </w:p>
    <w:p>
      <w:pPr>
        <w:pStyle w:val="Corpodotexto"/>
        <w:widowControl/>
        <w:numPr>
          <w:ilvl w:val="2"/>
          <w:numId w:val="9"/>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Corpodotexto"/>
        <w:widowControl/>
        <w:numPr>
          <w:ilvl w:val="2"/>
          <w:numId w:val="9"/>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 xml:space="preserve"> </w:t>
      </w:r>
      <w:r>
        <w:rPr>
          <w:b w:val="false"/>
          <w:i w:val="false"/>
          <w:caps w:val="false"/>
          <w:smallCaps w:val="false"/>
          <w:color w:val="000000"/>
          <w:spacing w:val="0"/>
          <w:sz w:val="19"/>
          <w:szCs w:val="19"/>
          <w:shd w:fill="auto" w:val="clear"/>
        </w:rPr>
        <w:t>A aplicação das sanções previstas neste item não exclui, em hipótese alguma, a obrigação de reparação integral do dano causado à Administração Pública.</w:t>
      </w:r>
    </w:p>
    <w:p>
      <w:pPr>
        <w:pStyle w:val="Corpodotexto"/>
        <w:numPr>
          <w:ilvl w:val="1"/>
          <w:numId w:val="9"/>
        </w:numPr>
        <w:overflowPunct w:val="tru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u w:val="none"/>
          <w:shd w:fill="auto" w:val="clear"/>
          <w:lang w:val="pt-BR" w:bidi="ar-SA"/>
        </w:rPr>
      </w:pPr>
      <w:r>
        <w:rPr>
          <w:rFonts w:eastAsia="MS Mincho;ＭＳ 明朝" w:cs="Verdana"/>
          <w:b w:val="false"/>
          <w:bCs w:val="false"/>
          <w:color w:val="000000"/>
          <w:sz w:val="19"/>
          <w:szCs w:val="19"/>
          <w:u w:val="none"/>
          <w:shd w:fill="auto" w:val="clear"/>
          <w:lang w:val="pt-BR" w:bidi="ar-SA"/>
        </w:rPr>
        <w:t>DA EXTINÇÃO CONTRATUAL</w:t>
      </w:r>
    </w:p>
    <w:p>
      <w:pPr>
        <w:pStyle w:val="Corpodotexto"/>
        <w:numPr>
          <w:ilvl w:val="2"/>
          <w:numId w:val="9"/>
        </w:numPr>
        <w:overflowPunct w:val="tru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i w:val="false"/>
          <w:caps w:val="false"/>
          <w:smallCaps w:val="false"/>
          <w:color w:val="000000"/>
          <w:spacing w:val="0"/>
          <w:sz w:val="19"/>
          <w:szCs w:val="19"/>
          <w:shd w:fill="auto" w:val="clear"/>
          <w:lang w:val="pt-BR" w:bidi="ar-SA"/>
        </w:rPr>
        <w:t>Constituirão motivos para extinção do contrato</w:t>
      </w:r>
      <w:r>
        <w:rPr>
          <w:rFonts w:eastAsia="MS Mincho;ＭＳ 明朝" w:cs="Verdana"/>
          <w:b w:val="false"/>
          <w:bCs w:val="false"/>
          <w:color w:val="000000"/>
          <w:sz w:val="19"/>
          <w:szCs w:val="19"/>
          <w:shd w:fill="auto" w:val="clear"/>
          <w:lang w:val="pt-BR" w:bidi="ar-SA"/>
        </w:rPr>
        <w:t>, a qual deverá ser formalmente motivada nos autos do processo, assegurados o contraditório e a ampla defesa, as seguintes situações: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Não cumprimento ou cumprimento irregular de normas editalícias ou de cláusulas contratuais, de especificações, de projetos ou de prazos;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Desatendimento das determinações regulares emitidas pela autoridade designada para acompanhar e fiscalizar sua execução ou por autoridade superior;</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Alteração social ou modificação da finalidade ou da estrutura da empresa que restrinja sua capacidade de concluir o contrato;</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Decretação de falência ou de insolvência civil, dissolução da sociedade ou falecimento do contratado;</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Caso fortuito ou força maior, regularmente comprovados, impeditivos da execução do contrato;</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Atraso na obtenção da licença ambiental, ou impossibilidade de obtê-la, ou alteração substancial do anteprojeto que dela resultar, ainda que obtida no prazo previsto;</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Atraso na liberação das áreas sujeitas a desapropriação, a desocupação ou a servidão administrativa, ou impossibilidade de liberação dessas áreas;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Razões de interesse público, justificadas pela autoridade máxima do órgão ou da entidade contratante;</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Não cumprimento das obrigações relativas à reserva de cargos prevista em lei, bem como em outras normas específicas, para pessoa com deficiência, para reabilitado da Previdência Social ou para aprendiz.</w:t>
      </w:r>
    </w:p>
    <w:p>
      <w:pPr>
        <w:pStyle w:val="Corpodotexto"/>
        <w:numPr>
          <w:ilvl w:val="2"/>
          <w:numId w:val="9"/>
        </w:numPr>
        <w:overflowPunct w:val="true"/>
        <w:spacing w:lineRule="auto" w:line="240" w:before="31" w:after="62"/>
        <w:ind w:left="0" w:right="0" w:hanging="0"/>
        <w:jc w:val="both"/>
        <w:textAlignment w:val="baseline"/>
        <w:rPr>
          <w:color w:val="000000"/>
        </w:rPr>
      </w:pPr>
      <w:r>
        <w:rPr>
          <w:rFonts w:eastAsia="MS Mincho;ＭＳ 明朝" w:cs="Verdana"/>
          <w:b w:val="false"/>
          <w:bCs w:val="false"/>
          <w:color w:val="000000"/>
          <w:sz w:val="19"/>
          <w:szCs w:val="19"/>
          <w:shd w:fill="auto" w:val="clear"/>
          <w:lang w:val="pt-BR" w:bidi="ar-SA"/>
        </w:rPr>
        <w:t xml:space="preserve">A análise dos critérios para verificação de ocorrência dos motivos para extinção contratual previstos observarão o </w:t>
      </w:r>
      <w:r>
        <w:rPr>
          <w:rFonts w:eastAsia="MS Mincho;ＭＳ 明朝" w:cs="Arial-ItalicMT"/>
          <w:b w:val="false"/>
          <w:bCs w:val="false"/>
          <w:iCs/>
          <w:color w:val="000000"/>
          <w:sz w:val="19"/>
          <w:szCs w:val="19"/>
          <w:shd w:fill="auto" w:val="clear"/>
          <w:lang w:val="pt-BR" w:bidi="ar-SA"/>
        </w:rPr>
        <w:t>Decreto Municipal n.º 31/2023</w:t>
      </w:r>
      <w:r>
        <w:rPr>
          <w:rFonts w:eastAsia="MS Mincho;ＭＳ 明朝" w:cs="Verdana"/>
          <w:b w:val="false"/>
          <w:bCs w:val="false"/>
          <w:iCs/>
          <w:color w:val="000000"/>
          <w:sz w:val="19"/>
          <w:szCs w:val="19"/>
          <w:shd w:fill="auto" w:val="clear"/>
          <w:lang w:val="pt-BR" w:bidi="ar-SA"/>
        </w:rPr>
        <w:t>, bem como as disposi</w:t>
      </w:r>
      <w:r>
        <w:rPr>
          <w:rFonts w:eastAsia="MS Mincho;ＭＳ 明朝" w:cs="Verdana"/>
          <w:b w:val="false"/>
          <w:bCs w:val="false"/>
          <w:color w:val="000000"/>
          <w:sz w:val="19"/>
          <w:szCs w:val="19"/>
          <w:shd w:fill="auto" w:val="clear"/>
          <w:lang w:val="pt-BR" w:bidi="ar-SA"/>
        </w:rPr>
        <w:t>ções contidas no Decreto Municipal nº 141/2020.</w:t>
      </w:r>
    </w:p>
    <w:p>
      <w:pPr>
        <w:pStyle w:val="Corpodotexto"/>
        <w:numPr>
          <w:ilvl w:val="2"/>
          <w:numId w:val="9"/>
        </w:numPr>
        <w:overflowPunct w:val="tru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bCs/>
          <w:color w:val="000000"/>
          <w:sz w:val="19"/>
          <w:szCs w:val="19"/>
          <w:shd w:fill="auto" w:val="clear"/>
          <w:lang w:val="pt-BR" w:bidi="ar-SA"/>
        </w:rPr>
        <w:t>O contratado</w:t>
      </w:r>
      <w:r>
        <w:rPr>
          <w:rFonts w:eastAsia="MS Mincho;ＭＳ 明朝" w:cs="Verdana"/>
          <w:b w:val="false"/>
          <w:bCs w:val="false"/>
          <w:color w:val="000000"/>
          <w:sz w:val="19"/>
          <w:szCs w:val="19"/>
          <w:shd w:fill="auto" w:val="clear"/>
          <w:lang w:val="pt-BR" w:bidi="ar-SA"/>
        </w:rPr>
        <w:t xml:space="preserve"> terá direito à extinção do contrato nas seguintes hipóteses: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Supressão, por parte da Administração, de obras, serviços ou compras que acarrete modificação do valor inicial do contrato além do limite permitido no art. 125 desta Lei;</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Suspensão de execução do contrato, por ordem escrita da Administração, por prazo superior a 3 (três) meses;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Repetidas suspensões que totalizem 90 (noventa) dias úteis, independentemente do pagamento obrigatório de indenização pelas sucessivas e contratualmente imprevistas desmobilizações e mobilizações e outras previstas;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Atraso superior a 2 (dois) meses, contado da emissão da nota fiscal, dos pagamentos ou de parcelas de pagamentos devidos pela Administração por despesas de obras, serviços ou fornecimentos;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pPr>
        <w:pStyle w:val="Corpodotexto"/>
        <w:numPr>
          <w:ilvl w:val="2"/>
          <w:numId w:val="9"/>
        </w:numPr>
        <w:overflowPunct w:val="tru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Decorrido atraso na execução do objeto, de período igual ou superior a 1/3 (um terço) do prazo de execução, sem manifestação da CONTRATADA, estará caracterizada a inadimplência da mesma ficando assegurado ao CONTRATANTE o direito de tomar as medidas cabíveis para a extinção Contratual e a aplicação da multa.</w:t>
      </w:r>
    </w:p>
    <w:p>
      <w:pPr>
        <w:pStyle w:val="Corpodotexto"/>
        <w:numPr>
          <w:ilvl w:val="2"/>
          <w:numId w:val="9"/>
        </w:numPr>
        <w:overflowPunct w:val="tru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 extinção do Contrato, quando motivada por qualquer dos itens acima relacionados, implicará a apuração de perdas e danos, sem embargos da aplicação das demais penalidades legais cabíveis.</w:t>
      </w:r>
    </w:p>
    <w:p>
      <w:pPr>
        <w:pStyle w:val="Corpodotexto"/>
        <w:numPr>
          <w:ilvl w:val="2"/>
          <w:numId w:val="9"/>
        </w:numPr>
        <w:overflowPunct w:val="true"/>
        <w:spacing w:lineRule="auto" w:line="240" w:before="31" w:after="62"/>
        <w:ind w:left="0" w:right="0" w:hanging="0"/>
        <w:jc w:val="both"/>
        <w:textAlignment w:val="baseline"/>
        <w:rPr>
          <w:color w:val="000000"/>
        </w:rPr>
      </w:pPr>
      <w:r>
        <w:rPr>
          <w:rFonts w:eastAsia="MS Mincho;ＭＳ 明朝" w:cs="Verdana"/>
          <w:b w:val="false"/>
          <w:bCs w:val="false"/>
          <w:color w:val="000000"/>
          <w:sz w:val="19"/>
          <w:szCs w:val="19"/>
          <w:shd w:fill="auto" w:val="clear"/>
          <w:lang w:val="pt-BR" w:bidi="ar-SA"/>
        </w:rPr>
        <w:t>Declarada a extinção do Contrato, que vigorará a partir da data da sua declaração, a CONTRATADA se obriga, expressamente, como ora o faz, a entregar os serviços já concluídos, não criando dificuldades de qualquer natureza.</w:t>
      </w:r>
    </w:p>
    <w:p>
      <w:pPr>
        <w:pStyle w:val="Corpodotexto"/>
        <w:numPr>
          <w:ilvl w:val="1"/>
          <w:numId w:val="9"/>
        </w:numPr>
        <w:overflowPunct w:val="true"/>
        <w:spacing w:lineRule="auto" w:line="240" w:before="31" w:after="62"/>
        <w:ind w:left="0" w:right="0" w:hanging="0"/>
        <w:jc w:val="both"/>
        <w:textAlignment w:val="baseline"/>
        <w:rPr>
          <w:color w:val="000000"/>
        </w:rPr>
      </w:pPr>
      <w:r>
        <w:rPr>
          <w:rFonts w:eastAsia="MS Mincho;ＭＳ 明朝" w:cs="Arial-ItalicMT"/>
          <w:b w:val="false"/>
          <w:bCs w:val="false"/>
          <w:iCs/>
          <w:color w:val="000000"/>
          <w:sz w:val="19"/>
          <w:szCs w:val="19"/>
          <w:shd w:fill="auto" w:val="clear"/>
          <w:lang w:val="pt-BR" w:bidi="ar-SA"/>
        </w:rPr>
        <w:t>Tendo em vista que o certame não se enquadra nos casos obrigatórios de elaboração de matriz de alocação de riscos entre o contratante e o contratado, conforme §3º, do artigo 22 da Lei Federal nº 14.133/2021, deverá ser observada a análise simplificada dos riscos da contratação, conforme documento intitulado “Mapa de Riscos”, constante do procedimento.</w:t>
      </w:r>
    </w:p>
    <w:p>
      <w:pPr>
        <w:pStyle w:val="Normal"/>
        <w:numPr>
          <w:ilvl w:val="0"/>
          <w:numId w:val="9"/>
        </w:numPr>
        <w:overflowPunct w:val="true"/>
        <w:spacing w:lineRule="auto" w:line="240" w:before="31" w:after="62"/>
        <w:ind w:left="0" w:right="0" w:hanging="0"/>
        <w:jc w:val="both"/>
        <w:textAlignment w:val="baseline"/>
        <w:rPr>
          <w:rFonts w:ascii="Arial" w:hAnsi="Arial" w:eastAsia="MS Mincho;ＭＳ 明朝" w:cs="Verdana"/>
          <w:b/>
          <w:b/>
          <w:color w:val="000000"/>
          <w:sz w:val="19"/>
          <w:szCs w:val="19"/>
          <w:u w:val="single"/>
          <w:lang w:eastAsia="pt-BR"/>
        </w:rPr>
      </w:pPr>
      <w:r>
        <w:rPr>
          <w:rFonts w:eastAsia="MS Mincho;ＭＳ 明朝" w:cs="Verdana" w:ascii="Arial" w:hAnsi="Arial"/>
          <w:b/>
          <w:color w:val="000000"/>
          <w:sz w:val="19"/>
          <w:szCs w:val="19"/>
          <w:u w:val="single"/>
          <w:lang w:eastAsia="pt-BR"/>
        </w:rPr>
        <w:t>DO VALOR</w:t>
      </w:r>
    </w:p>
    <w:p>
      <w:pPr>
        <w:pStyle w:val="Normal"/>
        <w:numPr>
          <w:ilvl w:val="1"/>
          <w:numId w:val="9"/>
        </w:numPr>
        <w:overflowPunct w:val="tru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valor a ser pago para a execução do objeto é de </w:t>
      </w:r>
      <w:r>
        <w:rPr>
          <w:rFonts w:cs="Verdana" w:ascii="Arial" w:hAnsi="Arial"/>
          <w:b/>
          <w:bCs/>
          <w:color w:val="000000"/>
          <w:sz w:val="19"/>
          <w:szCs w:val="19"/>
        </w:rPr>
        <w:t>R$ &lt;Valor_Contratado&gt;.</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No valor acima estão incluídos todas as despesas ordinárias diretas e indiretas decorrentes da execução contratual, inclusive tributos e/ou impostos, encargos trabalhistas, previdenciários, fiscais, comerciais, inclusive no que diz respeito às normas de segurança no trabalho, taxa de administração, frete, seguro e outros necessários ao cumprimento integral do objeto da contratação.</w:t>
      </w:r>
    </w:p>
    <w:p>
      <w:pPr>
        <w:pStyle w:val="Normal"/>
        <w:numPr>
          <w:ilvl w:val="1"/>
          <w:numId w:val="9"/>
        </w:numPr>
        <w:overflowPunct w:val="true"/>
        <w:spacing w:lineRule="auto" w:line="240" w:before="31" w:after="62"/>
        <w:ind w:left="0" w:right="0" w:hanging="0"/>
        <w:jc w:val="both"/>
        <w:textAlignment w:val="baseline"/>
        <w:rPr>
          <w:rFonts w:ascii="Arial" w:hAnsi="Arial" w:cs="ArialMT"/>
          <w:color w:val="000000"/>
          <w:sz w:val="19"/>
          <w:szCs w:val="19"/>
        </w:rPr>
      </w:pPr>
      <w:r>
        <w:rPr>
          <w:rFonts w:cs="ArialMT" w:ascii="Arial" w:hAnsi="Arial"/>
          <w:color w:val="000000"/>
          <w:sz w:val="19"/>
          <w:szCs w:val="19"/>
        </w:rPr>
        <w:t>Durante a vigência do Contrato, os preços serão fixos e irreajustáveis, exceto nas hipóteses, devidamente comprovadas, de ocorrência de situação prevista nas alíneas “c” e “d” do inciso II do art.124 da da Lei Federal nº 14.133/2021 ou de redução dos preços praticados no mercado.</w:t>
      </w:r>
    </w:p>
    <w:p>
      <w:pPr>
        <w:pStyle w:val="Normal"/>
        <w:numPr>
          <w:ilvl w:val="0"/>
          <w:numId w:val="0"/>
        </w:numPr>
        <w:overflowPunct w:val="true"/>
        <w:spacing w:lineRule="auto" w:line="240" w:before="31" w:after="62"/>
        <w:ind w:left="0" w:right="0" w:hanging="0"/>
        <w:jc w:val="both"/>
        <w:textAlignment w:val="baseline"/>
        <w:rPr>
          <w:rFonts w:ascii="Arial" w:hAnsi="Arial" w:cs="ArialMT"/>
          <w:b/>
          <w:b/>
          <w:bCs/>
          <w:color w:val="000000"/>
          <w:sz w:val="19"/>
          <w:szCs w:val="19"/>
          <w:shd w:fill="auto" w:val="clear"/>
        </w:rPr>
      </w:pPr>
      <w:r>
        <w:rPr>
          <w:rFonts w:cs="ArialMT" w:ascii="Arial" w:hAnsi="Arial"/>
          <w:b/>
          <w:bCs/>
          <w:color w:val="000000"/>
          <w:sz w:val="19"/>
          <w:szCs w:val="19"/>
          <w:shd w:fill="auto" w:val="clear"/>
        </w:rPr>
        <w:t>5.3.1.</w:t>
      </w:r>
      <w:r>
        <w:rPr>
          <w:rFonts w:cs="ArialMT" w:ascii="Arial" w:hAnsi="Arial"/>
          <w:b w:val="false"/>
          <w:bCs w:val="false"/>
          <w:color w:val="000000"/>
          <w:sz w:val="19"/>
          <w:szCs w:val="19"/>
          <w:shd w:fill="auto" w:val="clear"/>
        </w:rPr>
        <w:t xml:space="preserve"> A Administração responderá ao pedido de restabelecimento do equilíbrio econômico-financeiro em até 10 (dez) dias úteis da apresentação do protocolo pelo Contratado.</w:t>
      </w:r>
    </w:p>
    <w:p>
      <w:pPr>
        <w:pStyle w:val="Corpodotexto"/>
        <w:numPr>
          <w:ilvl w:val="0"/>
          <w:numId w:val="0"/>
        </w:numPr>
        <w:overflowPunct w:val="true"/>
        <w:spacing w:lineRule="auto" w:line="240" w:before="31" w:after="62"/>
        <w:ind w:left="0" w:right="0" w:hanging="0"/>
        <w:jc w:val="both"/>
        <w:textAlignment w:val="baseline"/>
        <w:rPr>
          <w:color w:val="000000"/>
          <w:shd w:fill="auto" w:val="clear"/>
        </w:rPr>
      </w:pPr>
      <w:r>
        <w:rPr>
          <w:rFonts w:eastAsia="MS Mincho;ＭＳ 明朝" w:cs="Verdana"/>
          <w:b/>
          <w:bCs/>
          <w:color w:val="000000"/>
          <w:sz w:val="19"/>
          <w:szCs w:val="19"/>
          <w:shd w:fill="auto" w:val="clear"/>
          <w:lang w:val="pt-BR" w:bidi="ar-SA"/>
        </w:rPr>
        <w:t xml:space="preserve">5.3.2. </w:t>
      </w:r>
      <w:r>
        <w:rPr>
          <w:rFonts w:eastAsia="MS Mincho;ＭＳ 明朝" w:cs="Verdana"/>
          <w:b w:val="false"/>
          <w:bCs w:val="false"/>
          <w:color w:val="000000"/>
          <w:sz w:val="19"/>
          <w:szCs w:val="19"/>
          <w:shd w:fill="auto" w:val="clear"/>
          <w:lang w:val="pt-BR" w:bidi="ar-SA"/>
        </w:rPr>
        <w:t>O presente contrato não envolve prestação de garantia contratual.</w:t>
      </w:r>
    </w:p>
    <w:p>
      <w:pPr>
        <w:pStyle w:val="Normal"/>
        <w:numPr>
          <w:ilvl w:val="0"/>
          <w:numId w:val="9"/>
        </w:numPr>
        <w:overflowPunct w:val="true"/>
        <w:spacing w:lineRule="auto" w:line="240" w:before="31" w:after="62"/>
        <w:ind w:left="0" w:right="0" w:hanging="0"/>
        <w:jc w:val="both"/>
        <w:textAlignment w:val="baseline"/>
        <w:rPr>
          <w:rFonts w:ascii="Arial" w:hAnsi="Arial" w:cs="Verdana"/>
          <w:b/>
          <w:b/>
          <w:color w:val="000000"/>
          <w:sz w:val="19"/>
          <w:szCs w:val="19"/>
          <w:u w:val="single"/>
        </w:rPr>
      </w:pPr>
      <w:r>
        <w:rPr>
          <w:rFonts w:cs="Verdana" w:ascii="Arial" w:hAnsi="Arial"/>
          <w:b/>
          <w:color w:val="000000"/>
          <w:sz w:val="19"/>
          <w:szCs w:val="19"/>
          <w:u w:val="single"/>
        </w:rPr>
        <w:t>DA VIGÊNCIA E EXECUÇÃO</w:t>
      </w:r>
    </w:p>
    <w:p>
      <w:pPr>
        <w:pStyle w:val="Normal"/>
        <w:numPr>
          <w:ilvl w:val="1"/>
          <w:numId w:val="9"/>
        </w:numPr>
        <w:overflowPunct w:val="tru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presente contrato terá prazo de </w:t>
      </w:r>
      <w:r>
        <w:rPr>
          <w:rFonts w:cs="Verdana" w:ascii="Arial" w:hAnsi="Arial"/>
          <w:b/>
          <w:bCs/>
          <w:color w:val="000000"/>
          <w:sz w:val="19"/>
          <w:szCs w:val="19"/>
        </w:rPr>
        <w:t>execução</w:t>
      </w:r>
      <w:r>
        <w:rPr>
          <w:rFonts w:cs="Verdana" w:ascii="Arial" w:hAnsi="Arial"/>
          <w:color w:val="000000"/>
          <w:sz w:val="19"/>
          <w:szCs w:val="19"/>
        </w:rPr>
        <w:t xml:space="preserve"> </w:t>
      </w:r>
      <w:r>
        <w:rPr>
          <w:rFonts w:cs="Verdana" w:ascii="Arial" w:hAnsi="Arial"/>
          <w:b/>
          <w:color w:val="000000"/>
          <w:sz w:val="19"/>
          <w:szCs w:val="19"/>
        </w:rPr>
        <w:t xml:space="preserve">até </w:t>
      </w:r>
      <w:r>
        <w:rPr>
          <w:rFonts w:eastAsia="Times New Roman" w:cs="Verdana" w:ascii="Arial" w:hAnsi="Arial"/>
          <w:b/>
          <w:color w:val="000000"/>
          <w:sz w:val="19"/>
          <w:szCs w:val="19"/>
          <w:lang w:val="pt-BR" w:eastAsia="zh-CN" w:bidi="ar-SA"/>
        </w:rPr>
        <w:t>31/12/2025</w:t>
      </w:r>
      <w:r>
        <w:rPr>
          <w:rFonts w:cs="Verdana" w:ascii="Arial" w:hAnsi="Arial"/>
          <w:color w:val="000000"/>
          <w:sz w:val="19"/>
          <w:szCs w:val="19"/>
        </w:rPr>
        <w:t>, com início na data de assinatura deste contrato.</w:t>
      </w:r>
    </w:p>
    <w:p>
      <w:pPr>
        <w:pStyle w:val="Normal"/>
        <w:numPr>
          <w:ilvl w:val="1"/>
          <w:numId w:val="9"/>
        </w:numPr>
        <w:overflowPunct w:val="tru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presente contrato terá prazo de </w:t>
      </w:r>
      <w:r>
        <w:rPr>
          <w:rFonts w:cs="Verdana" w:ascii="Arial" w:hAnsi="Arial"/>
          <w:b/>
          <w:bCs/>
          <w:color w:val="000000"/>
          <w:sz w:val="19"/>
          <w:szCs w:val="19"/>
        </w:rPr>
        <w:t>vigência até</w:t>
      </w:r>
      <w:r>
        <w:rPr>
          <w:rFonts w:cs="Verdana" w:ascii="Arial" w:hAnsi="Arial"/>
          <w:b/>
          <w:color w:val="000000"/>
          <w:sz w:val="19"/>
          <w:szCs w:val="19"/>
        </w:rPr>
        <w:t xml:space="preserve"> </w:t>
      </w:r>
      <w:r>
        <w:rPr>
          <w:rFonts w:eastAsia="Times New Roman" w:cs="Verdana" w:ascii="Arial" w:hAnsi="Arial"/>
          <w:b/>
          <w:color w:val="000000"/>
          <w:sz w:val="19"/>
          <w:szCs w:val="19"/>
          <w:lang w:val="pt-BR" w:eastAsia="zh-CN" w:bidi="ar-SA"/>
        </w:rPr>
        <w:t>31/12/2025</w:t>
      </w:r>
      <w:r>
        <w:rPr>
          <w:rFonts w:cs="Verdana" w:ascii="Arial" w:hAnsi="Arial"/>
          <w:color w:val="000000"/>
          <w:sz w:val="19"/>
          <w:szCs w:val="19"/>
        </w:rPr>
        <w:t>, com início na data de assinatura deste contrato.</w:t>
      </w:r>
    </w:p>
    <w:p>
      <w:pPr>
        <w:pStyle w:val="Normal"/>
        <w:numPr>
          <w:ilvl w:val="1"/>
          <w:numId w:val="9"/>
        </w:numPr>
        <w:overflowPunct w:val="true"/>
        <w:spacing w:lineRule="auto" w:line="240" w:before="31" w:after="62"/>
        <w:ind w:left="0" w:right="0" w:hanging="0"/>
        <w:jc w:val="both"/>
        <w:textAlignment w:val="baseline"/>
        <w:rPr>
          <w:rFonts w:ascii="Arial" w:hAnsi="Arial" w:eastAsia="NSimSun" w:cs="Verdana"/>
          <w:color w:val="000000"/>
          <w:kern w:val="2"/>
          <w:sz w:val="19"/>
          <w:szCs w:val="19"/>
          <w:lang w:val="pt-BR" w:eastAsia="zh-CN" w:bidi="hi-IN"/>
        </w:rPr>
      </w:pPr>
      <w:r>
        <w:rPr>
          <w:rFonts w:eastAsia="NSimSun" w:cs="Verdana" w:ascii="Arial" w:hAnsi="Arial"/>
          <w:color w:val="000000"/>
          <w:kern w:val="2"/>
          <w:sz w:val="19"/>
          <w:szCs w:val="19"/>
          <w:lang w:val="pt-BR" w:eastAsia="zh-CN" w:bidi="hi-IN"/>
        </w:rPr>
        <w:t>O prazo de vigência desta contratação, tratando-se de serviços não contínuos, deve ficar adstrito à vigência do respectivo crédito orçamentário, nos termos do art. 105, caput da Lei nº 14.133/2021.</w:t>
      </w:r>
    </w:p>
    <w:p>
      <w:pPr>
        <w:pStyle w:val="Normal"/>
        <w:numPr>
          <w:ilvl w:val="1"/>
          <w:numId w:val="9"/>
        </w:numPr>
        <w:overflowPunct w:val="true"/>
        <w:spacing w:lineRule="auto" w:line="240" w:before="31" w:after="62"/>
        <w:ind w:left="0" w:right="0" w:hanging="0"/>
        <w:jc w:val="both"/>
        <w:textAlignment w:val="baseline"/>
        <w:rPr>
          <w:rFonts w:ascii="Arial" w:hAnsi="Arial" w:eastAsia="NSimSun" w:cs="Verdana"/>
          <w:color w:val="000000"/>
          <w:kern w:val="2"/>
          <w:sz w:val="19"/>
          <w:szCs w:val="19"/>
          <w:lang w:val="pt-BR" w:eastAsia="zh-CN" w:bidi="hi-IN"/>
        </w:rPr>
      </w:pPr>
      <w:r>
        <w:rPr>
          <w:rFonts w:eastAsia="NSimSun" w:cs="Verdana" w:ascii="Arial" w:hAnsi="Arial"/>
          <w:color w:val="000000"/>
          <w:kern w:val="2"/>
          <w:sz w:val="19"/>
          <w:szCs w:val="19"/>
          <w:lang w:val="pt-BR" w:eastAsia="zh-CN" w:bidi="hi-IN"/>
        </w:rPr>
        <w:t>Durante a vigência e execução deste contrato deverão ser observadas no momento da contratação e a cada exercício financeiro, a disponibilidade de créditos orçamentários, bem como a previsão no plano plurianual, quando ultrapassar 1 (um) exercício financeiro.</w:t>
      </w:r>
    </w:p>
    <w:p>
      <w:pPr>
        <w:pStyle w:val="Normal"/>
        <w:numPr>
          <w:ilvl w:val="1"/>
          <w:numId w:val="9"/>
        </w:numPr>
        <w:overflowPunct w:val="true"/>
        <w:spacing w:lineRule="auto" w:line="240" w:before="31" w:after="62"/>
        <w:ind w:left="0" w:right="0" w:hanging="0"/>
        <w:jc w:val="both"/>
        <w:textAlignment w:val="baseline"/>
        <w:rPr>
          <w:rFonts w:ascii="Arial" w:hAnsi="Arial" w:eastAsia="NSimSun" w:cs="Verdana"/>
          <w:color w:val="000000"/>
          <w:kern w:val="2"/>
          <w:sz w:val="19"/>
          <w:szCs w:val="19"/>
          <w:lang w:val="pt-BR" w:eastAsia="zh-CN" w:bidi="hi-IN"/>
        </w:rPr>
      </w:pPr>
      <w:r>
        <w:rPr>
          <w:rFonts w:eastAsia="NSimSun" w:cs="Verdana" w:ascii="Arial" w:hAnsi="Arial"/>
          <w:color w:val="000000"/>
          <w:kern w:val="2"/>
          <w:sz w:val="19"/>
          <w:szCs w:val="19"/>
          <w:lang w:val="pt-BR" w:eastAsia="zh-CN" w:bidi="hi-IN"/>
        </w:rPr>
        <w:t>O contratado fica obrigado a aceitar, dentro do período de vigência do contrato, nas mesmas condições contratuais, os acréscimos ou supressões que se fizerem na compra, até 25% (vinte e cinco por cento) do objeto do contrato.</w:t>
      </w:r>
    </w:p>
    <w:p>
      <w:pPr>
        <w:pStyle w:val="Normal"/>
        <w:overflowPunct w:val="false"/>
        <w:textAlignment w:val="baseline"/>
        <w:rPr>
          <w:rFonts w:ascii="Arial" w:hAnsi="Arial"/>
          <w:sz w:val="19"/>
          <w:szCs w:val="19"/>
        </w:rPr>
      </w:pPr>
      <w:r>
        <w:rPr>
          <w:rFonts w:ascii="Arial" w:hAnsi="Arial"/>
          <w:sz w:val="19"/>
          <w:szCs w:val="19"/>
        </w:rPr>
      </w:r>
    </w:p>
    <w:p>
      <w:pPr>
        <w:pStyle w:val="Normal"/>
        <w:numPr>
          <w:ilvl w:val="0"/>
          <w:numId w:val="9"/>
        </w:numPr>
        <w:overflowPunct w:val="true"/>
        <w:spacing w:lineRule="auto" w:line="240" w:before="31" w:after="62"/>
        <w:ind w:left="0" w:right="0" w:hanging="0"/>
        <w:textAlignment w:val="baseline"/>
        <w:rPr>
          <w:rFonts w:ascii="Arial" w:hAnsi="Arial" w:eastAsia="Times New Roman" w:cs="ArialMT"/>
          <w:b/>
          <w:b/>
          <w:color w:val="000000"/>
          <w:sz w:val="19"/>
          <w:szCs w:val="19"/>
          <w:u w:val="single"/>
          <w:shd w:fill="auto" w:val="clear"/>
          <w:lang w:val="pt-BR" w:bidi="ar-SA"/>
        </w:rPr>
      </w:pPr>
      <w:r>
        <w:rPr>
          <w:rFonts w:eastAsia="Times New Roman" w:cs="ArialMT" w:ascii="Arial" w:hAnsi="Arial"/>
          <w:b/>
          <w:color w:val="000000"/>
          <w:sz w:val="19"/>
          <w:szCs w:val="19"/>
          <w:u w:val="single"/>
          <w:shd w:fill="auto" w:val="clear"/>
          <w:lang w:val="pt-BR" w:bidi="ar-SA"/>
        </w:rPr>
        <w:t>DA FRAUDE E CORRUPÇÃO</w:t>
      </w:r>
    </w:p>
    <w:p>
      <w:pPr>
        <w:pStyle w:val="Corpodotexto"/>
        <w:numPr>
          <w:ilvl w:val="1"/>
          <w:numId w:val="9"/>
        </w:numPr>
        <w:overflowPunct w:val="true"/>
        <w:spacing w:lineRule="auto" w:line="240" w:before="31" w:after="62"/>
        <w:ind w:left="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Caso a licitante, em qualquer das fases da licitação e/ou durante a vigência e execução de contrato firmado com este ente público, praticar qualquer ato lesivo à Administração Pública elencado no art. 5º da Lei Federal 12.846/2013 e Decreto Federal 11.129/2022 ficará submetido à responsabilização objetiva administrativa regida pelo Decreto Municipal 141/2020 e sanções descritas no art. 6º da Lei Federal 12.846/2013, sem prejuízo da responsabilidade penal. Para o disposto neste item, definem-se as seguintes práticas:</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corrupta: oferecer, dar, receber ou solicitar, direta ou indiretamente, qualquer vantagem com o objetivo de influenciar a ação de servidor público no processo de licitação ou na execução de contrato; </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fraudulenta: a falsificação ou omissão dos fatos, com o objetivo de influenciar o processo de licitação ou de execução de contrato; </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colusiva: esquematizar ou estabelecer um acordo entre dois ou mais licitantes, com ou sem o conhecimento de representantes ou prepostos do órgão licitador, visando estabelecer preços em níveis artificiais e não-competitivos; </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coercitiva: causar dano ou ameaçar causar dano, direta ou indiretamente, às pessoas ou sua propriedade, visando influenciar sua participação em um processo licitatório ou afetar a execução do contrato;</w:t>
      </w:r>
    </w:p>
    <w:p>
      <w:pPr>
        <w:pStyle w:val="Corpodotexto"/>
        <w:numPr>
          <w:ilvl w:val="4"/>
          <w:numId w:val="9"/>
        </w:numPr>
        <w:overflowPunct w:val="tru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pPr>
        <w:pStyle w:val="Corpodotexto"/>
        <w:numPr>
          <w:ilvl w:val="1"/>
          <w:numId w:val="9"/>
        </w:numPr>
        <w:overflowPunct w:val="true"/>
        <w:spacing w:lineRule="auto" w:line="240" w:before="31" w:after="62"/>
        <w:ind w:left="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Se os atos previstos como infrações administrativas à Lei de Licitações n.º 14.133/2021 ou a outras normas de licitações e contratos da Administração Pública forem tipificados como atos lesivos na forma da Lei Federal 12.846/13, poderão ser apurados e julgados conjuntamente, no mesmo processo aplicando-se o rito procedimental do Decreto Municipal 141/2020.</w:t>
      </w:r>
    </w:p>
    <w:p>
      <w:pPr>
        <w:pStyle w:val="Corpodotexto"/>
        <w:numPr>
          <w:ilvl w:val="0"/>
          <w:numId w:val="0"/>
        </w:numPr>
        <w:overflowPunct w:val="tru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r>
    </w:p>
    <w:p>
      <w:pPr>
        <w:pStyle w:val="Normal"/>
        <w:numPr>
          <w:ilvl w:val="0"/>
          <w:numId w:val="9"/>
        </w:numPr>
        <w:overflowPunct w:val="true"/>
        <w:spacing w:lineRule="auto" w:line="240" w:before="31" w:after="62"/>
        <w:ind w:left="0" w:right="0" w:hanging="0"/>
        <w:jc w:val="both"/>
        <w:textAlignment w:val="baseline"/>
        <w:rPr>
          <w:rFonts w:ascii="Arial" w:hAnsi="Arial" w:cs="Verdana"/>
          <w:b/>
          <w:b/>
          <w:color w:val="000000"/>
          <w:sz w:val="19"/>
          <w:szCs w:val="19"/>
          <w:shd w:fill="auto" w:val="clear"/>
        </w:rPr>
      </w:pPr>
      <w:r>
        <w:rPr>
          <w:rFonts w:cs="Verdana" w:ascii="Arial" w:hAnsi="Arial"/>
          <w:b/>
          <w:color w:val="000000"/>
          <w:sz w:val="19"/>
          <w:szCs w:val="19"/>
          <w:u w:val="single"/>
          <w:shd w:fill="auto" w:val="clear"/>
        </w:rPr>
        <w:t>DOS RECURSOS FINANCEIROS</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As despesas oriundas da execução do presente contrato serão cobertas com receitas provenientes das seguintes dotações orçamentárias:</w:t>
      </w:r>
    </w:p>
    <w:tbl>
      <w:tblPr>
        <w:tblW w:w="9493" w:type="dxa"/>
        <w:jc w:val="left"/>
        <w:tblInd w:w="153" w:type="dxa"/>
        <w:tblLayout w:type="fixed"/>
        <w:tblCellMar>
          <w:top w:w="0" w:type="dxa"/>
          <w:left w:w="108" w:type="dxa"/>
          <w:bottom w:w="0" w:type="dxa"/>
          <w:right w:w="108" w:type="dxa"/>
        </w:tblCellMar>
      </w:tblPr>
      <w:tblGrid>
        <w:gridCol w:w="2261"/>
        <w:gridCol w:w="2409"/>
        <w:gridCol w:w="2411"/>
        <w:gridCol w:w="2411"/>
      </w:tblGrid>
      <w:tr>
        <w:trPr/>
        <w:tc>
          <w:tcPr>
            <w:tcW w:w="226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REDUZIDO</w:t>
            </w:r>
          </w:p>
        </w:tc>
        <w:tc>
          <w:tcPr>
            <w:tcW w:w="2409"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PROGRAMÁTICA</w:t>
            </w:r>
          </w:p>
        </w:tc>
        <w:tc>
          <w:tcPr>
            <w:tcW w:w="241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DESCRIÇÃO</w:t>
            </w:r>
          </w:p>
        </w:tc>
        <w:tc>
          <w:tcPr>
            <w:tcW w:w="241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FONTE DE RECURSO</w:t>
            </w:r>
          </w:p>
        </w:tc>
      </w:tr>
      <w:tr>
        <w:trPr/>
        <w:tc>
          <w:tcPr>
            <w:tcW w:w="226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713</w:t>
            </w:r>
          </w:p>
        </w:tc>
        <w:tc>
          <w:tcPr>
            <w:tcW w:w="240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226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709</w:t>
            </w:r>
          </w:p>
        </w:tc>
        <w:tc>
          <w:tcPr>
            <w:tcW w:w="240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226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713</w:t>
            </w:r>
          </w:p>
        </w:tc>
        <w:tc>
          <w:tcPr>
            <w:tcW w:w="240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3501</w:t>
            </w:r>
          </w:p>
        </w:tc>
      </w:tr>
      <w:tr>
        <w:trPr/>
        <w:tc>
          <w:tcPr>
            <w:tcW w:w="226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709</w:t>
            </w:r>
          </w:p>
        </w:tc>
        <w:tc>
          <w:tcPr>
            <w:tcW w:w="240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1500226782002110454490520000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3501</w:t>
            </w:r>
          </w:p>
        </w:tc>
      </w:tr>
    </w:tbl>
    <w:p>
      <w:pPr>
        <w:pStyle w:val="Normal"/>
        <w:numPr>
          <w:ilvl w:val="1"/>
          <w:numId w:val="9"/>
        </w:numPr>
        <w:overflowPunct w:val="tru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As dotações aqui descritas poderão, eventualmente, ser substituídas por outras no decorrer da vigência do presente contrato, em virtude da votação da Lei Orçamentária pela Câmara de Vereadores.</w:t>
      </w:r>
    </w:p>
    <w:p>
      <w:pPr>
        <w:pStyle w:val="Normal"/>
        <w:numPr>
          <w:ilvl w:val="0"/>
          <w:numId w:val="0"/>
        </w:numPr>
        <w:overflowPunct w:val="true"/>
        <w:spacing w:lineRule="auto" w:line="240" w:before="31" w:after="62"/>
        <w:ind w:left="0" w:right="0" w:hanging="0"/>
        <w:jc w:val="both"/>
        <w:textAlignment w:val="baseline"/>
        <w:rPr>
          <w:rFonts w:ascii="Arial" w:hAnsi="Arial"/>
          <w:color w:val="C9211E"/>
          <w:sz w:val="19"/>
          <w:szCs w:val="19"/>
        </w:rPr>
      </w:pPr>
      <w:r>
        <w:rPr>
          <w:rFonts w:ascii="Arial" w:hAnsi="Arial"/>
          <w:color w:val="C9211E"/>
          <w:sz w:val="19"/>
          <w:szCs w:val="19"/>
        </w:rPr>
      </w:r>
    </w:p>
    <w:p>
      <w:pPr>
        <w:pStyle w:val="Normal"/>
        <w:numPr>
          <w:ilvl w:val="0"/>
          <w:numId w:val="9"/>
        </w:numPr>
        <w:overflowPunct w:val="true"/>
        <w:spacing w:lineRule="auto" w:line="240" w:before="31" w:after="62"/>
        <w:ind w:left="0" w:right="0" w:hanging="0"/>
        <w:jc w:val="both"/>
        <w:textAlignment w:val="baseline"/>
        <w:rPr>
          <w:rFonts w:ascii="Arial" w:hAnsi="Arial" w:eastAsia="MS Mincho;ＭＳ 明朝" w:cs="Verdana"/>
          <w:b/>
          <w:b/>
          <w:color w:val="000000"/>
          <w:sz w:val="19"/>
          <w:szCs w:val="19"/>
          <w:u w:val="single"/>
          <w:lang w:eastAsia="pt-BR"/>
        </w:rPr>
      </w:pPr>
      <w:r>
        <w:rPr>
          <w:rFonts w:eastAsia="MS Mincho;ＭＳ 明朝" w:cs="Verdana" w:ascii="Arial" w:hAnsi="Arial"/>
          <w:b/>
          <w:color w:val="000000"/>
          <w:sz w:val="19"/>
          <w:szCs w:val="19"/>
          <w:u w:val="single"/>
          <w:lang w:eastAsia="pt-BR"/>
        </w:rPr>
        <w:t>DAS DISPOSIÇÕES FINAIS</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As alterações, prorrogações, extinções, penalidades e multas, obedecerão Lei Federal nº 14.133/2021, e seguindo as seguintes considerações:</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No caso de inexecução do objeto desta licitação, exceto por motivo de força maior ou caso fortuito, devidamente comprovado e justificado, ficará a empresa contratada sujeita às sanções preceituadas na Lei Federal nº 14.133/2021.</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 Contratada declara ter pleno conhecimento das condições contratuais, pelo que reconhece ser perfeitamente viável o cumprimento integral e pontual dos encargos assumidos.</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Se qualquer das partes, em benefício da outra, permitir, mesmo por omissão, a inobservância, no todo ou em parte, de qualquer das cláusulas e condições do presente contrato e/ou seus anexos, tal fato não poderá ser considerado como modificativo das condições do presente contrato, as quais permanecerão inalteradas, como se nenhuma tolerância houvesse ocorrido.</w:t>
      </w:r>
    </w:p>
    <w:p>
      <w:pPr>
        <w:pStyle w:val="Normal"/>
        <w:numPr>
          <w:ilvl w:val="1"/>
          <w:numId w:val="9"/>
        </w:numPr>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O Município de Cianorte se reserva no direito de paralisar ou suspender a qualquer tempo a execução do objeto contratado, desde que haja conveniência administrativa para este Município, devidamente autorizada e fundamentada. Se isso vier a ocorrer, a empresa contratada terá o direito aos ressarcimentos garantidos e previstos na Lei Federal nº 14.133/2021.</w:t>
      </w:r>
    </w:p>
    <w:p>
      <w:pPr>
        <w:pStyle w:val="Normal"/>
        <w:numPr>
          <w:ilvl w:val="1"/>
          <w:numId w:val="9"/>
        </w:numPr>
        <w:overflowPunct w:val="true"/>
        <w:spacing w:lineRule="auto" w:line="240" w:before="31" w:after="62"/>
        <w:ind w:left="0" w:right="0" w:hanging="0"/>
        <w:jc w:val="both"/>
        <w:textAlignment w:val="baseline"/>
        <w:rPr>
          <w:rFonts w:ascii="Arial" w:hAnsi="Arial" w:cs="Verdana"/>
          <w:b w:val="false"/>
          <w:b w:val="false"/>
          <w:i w:val="false"/>
          <w:i w:val="false"/>
          <w:caps w:val="false"/>
          <w:smallCaps w:val="false"/>
          <w:color w:val="000000"/>
          <w:spacing w:val="0"/>
          <w:sz w:val="19"/>
          <w:szCs w:val="19"/>
          <w:shd w:fill="auto" w:val="clear"/>
        </w:rPr>
      </w:pPr>
      <w:r>
        <w:rPr>
          <w:rFonts w:cs="Verdana" w:ascii="Arial" w:hAnsi="Arial"/>
          <w:b w:val="false"/>
          <w:i w:val="false"/>
          <w:caps w:val="false"/>
          <w:smallCaps w:val="false"/>
          <w:color w:val="000000"/>
          <w:spacing w:val="0"/>
          <w:sz w:val="19"/>
          <w:szCs w:val="19"/>
          <w:shd w:fill="auto" w:val="clear"/>
        </w:rPr>
        <w:t>Pela própria essência deste contrato, o mesmo não gera, em nenhuma hipótese, qualquer vínculo de origem trabalhista.</w:t>
      </w:r>
    </w:p>
    <w:p>
      <w:pPr>
        <w:pStyle w:val="Normal"/>
        <w:numPr>
          <w:ilvl w:val="1"/>
          <w:numId w:val="9"/>
        </w:numPr>
        <w:overflowPunct w:val="true"/>
        <w:spacing w:lineRule="auto" w:line="240" w:before="31" w:after="62"/>
        <w:ind w:left="0" w:right="0" w:hanging="0"/>
        <w:jc w:val="both"/>
        <w:textAlignment w:val="baseline"/>
        <w:rPr>
          <w:rFonts w:ascii="Arial" w:hAnsi="Arial" w:cs="Verdana"/>
          <w:b w:val="false"/>
          <w:b w:val="false"/>
          <w:i w:val="false"/>
          <w:i w:val="false"/>
          <w:caps w:val="false"/>
          <w:smallCaps w:val="false"/>
          <w:color w:val="000000"/>
          <w:spacing w:val="0"/>
          <w:sz w:val="19"/>
          <w:szCs w:val="19"/>
        </w:rPr>
      </w:pPr>
      <w:r>
        <w:rPr>
          <w:rFonts w:cs="Verdana" w:ascii="Arial" w:hAnsi="Arial"/>
          <w:b w:val="false"/>
          <w:i w:val="false"/>
          <w:caps w:val="false"/>
          <w:smallCaps w:val="false"/>
          <w:color w:val="000000"/>
          <w:spacing w:val="0"/>
          <w:sz w:val="19"/>
          <w:szCs w:val="19"/>
          <w:shd w:fill="auto" w:val="clear"/>
        </w:rPr>
        <w:t>Os casos omissos serão decididos pelo contratante, segundo as disposições contidas na Lei nº 14.133, de 2021, e demais normas federais aplicáveis e, subsidiariamente, segundo as disposições contidas na Lei nº 8.078, de 1990 – C</w:t>
      </w:r>
      <w:r>
        <w:rPr>
          <w:rFonts w:cs="Verdana" w:ascii="Arial" w:hAnsi="Arial"/>
          <w:b w:val="false"/>
          <w:i w:val="false"/>
          <w:caps w:val="false"/>
          <w:smallCaps w:val="false"/>
          <w:color w:val="000000"/>
          <w:spacing w:val="0"/>
          <w:sz w:val="19"/>
          <w:szCs w:val="19"/>
        </w:rPr>
        <w:t>ódigo de Defesa do Consumidor – e normas e princípios gerais dos contratos.</w:t>
      </w:r>
    </w:p>
    <w:p>
      <w:pPr>
        <w:pStyle w:val="Normal"/>
        <w:numPr>
          <w:ilvl w:val="1"/>
          <w:numId w:val="9"/>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O presente instrumento de contrato está vinculado obrigatoriamente ao Edital de licitação descrito no item 1.1 e seus anexos.</w:t>
      </w:r>
    </w:p>
    <w:p>
      <w:pPr>
        <w:pStyle w:val="Normal"/>
        <w:numPr>
          <w:ilvl w:val="0"/>
          <w:numId w:val="0"/>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r>
    </w:p>
    <w:p>
      <w:pPr>
        <w:pStyle w:val="Normal"/>
        <w:numPr>
          <w:ilvl w:val="0"/>
          <w:numId w:val="9"/>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s="Verdana"/>
          <w:b/>
          <w:b/>
          <w:color w:val="000000"/>
          <w:sz w:val="19"/>
          <w:szCs w:val="19"/>
          <w:u w:val="single"/>
        </w:rPr>
      </w:pPr>
      <w:r>
        <w:rPr>
          <w:rFonts w:cs="Verdana" w:ascii="Arial" w:hAnsi="Arial"/>
          <w:b/>
          <w:color w:val="000000"/>
          <w:sz w:val="19"/>
          <w:szCs w:val="19"/>
          <w:u w:val="single"/>
        </w:rPr>
        <w:t>DO FORO</w:t>
      </w:r>
    </w:p>
    <w:p>
      <w:pPr>
        <w:pStyle w:val="Normal"/>
        <w:numPr>
          <w:ilvl w:val="1"/>
          <w:numId w:val="9"/>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Fica eleito o Foro da Comarca de Cianorte, Estado do Paraná, para dirimir quaisquer dúvidas que possam surgir com referência ao presente Contrato.</w:t>
      </w:r>
    </w:p>
    <w:p>
      <w:pPr>
        <w:pStyle w:val="Normal"/>
        <w:numPr>
          <w:ilvl w:val="1"/>
          <w:numId w:val="9"/>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E, por estarem assim, justos e contratados, declaram ambas as partes aceitarem todas as cláusulas e condições estabelecidas no presente contrato, firmado em 02 (duas) vias de igual teor e forma, perante as testemunhas infra-assinadas.</w:t>
      </w:r>
    </w:p>
    <w:p>
      <w:pPr>
        <w:pStyle w:val="Normal"/>
        <w:numPr>
          <w:ilvl w:val="0"/>
          <w:numId w:val="0"/>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s="ArialMT"/>
          <w:color w:val="000000"/>
          <w:sz w:val="19"/>
          <w:szCs w:val="19"/>
        </w:rPr>
      </w:pPr>
      <w:r>
        <w:rPr>
          <w:rFonts w:cs="ArialMT" w:ascii="Arial" w:hAnsi="Arial"/>
          <w:color w:val="000000"/>
          <w:sz w:val="19"/>
          <w:szCs w:val="19"/>
        </w:rPr>
      </w:r>
    </w:p>
    <w:p>
      <w:pPr>
        <w:pStyle w:val="Normal"/>
        <w:numPr>
          <w:ilvl w:val="0"/>
          <w:numId w:val="0"/>
        </w:numPr>
        <w:tabs>
          <w:tab w:val="clear" w:pos="709"/>
          <w:tab w:val="left" w:pos="-290" w:leader="none"/>
          <w:tab w:val="left" w:pos="-150" w:leader="none"/>
        </w:tabs>
        <w:overflowPunct w:val="true"/>
        <w:spacing w:lineRule="auto" w:line="240" w:before="31" w:after="62"/>
        <w:ind w:left="0" w:right="0" w:hanging="0"/>
        <w:jc w:val="both"/>
        <w:textAlignment w:val="baseline"/>
        <w:rPr>
          <w:rFonts w:ascii="Arial" w:hAnsi="Arial"/>
          <w:color w:val="000000"/>
          <w:sz w:val="19"/>
          <w:szCs w:val="19"/>
        </w:rPr>
      </w:pPr>
      <w:r>
        <w:rPr>
          <w:rFonts w:cs="ArialMT" w:ascii="Arial" w:hAnsi="Arial"/>
          <w:color w:val="000000"/>
          <w:sz w:val="19"/>
          <w:szCs w:val="19"/>
        </w:rPr>
        <w:t>Paço Municipal Prefeito Wilson Ferreira Varella</w:t>
      </w:r>
      <w:r>
        <w:rPr>
          <w:rFonts w:cs="Verdana" w:ascii="Arial" w:hAnsi="Arial"/>
          <w:color w:val="000000"/>
          <w:sz w:val="19"/>
          <w:szCs w:val="19"/>
        </w:rPr>
        <w:t>, em &lt;Data_Assinatura&gt;.</w:t>
      </w:r>
    </w:p>
    <w:p>
      <w:pPr>
        <w:pStyle w:val="Normal"/>
        <w:overflowPunct w:val="tru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r>
    </w:p>
    <w:p>
      <w:pPr>
        <w:pStyle w:val="Normal"/>
        <w:overflowPunct w:val="true"/>
        <w:spacing w:lineRule="auto" w:line="240" w:before="31" w:after="62"/>
        <w:textAlignment w:val="baseline"/>
        <w:rPr>
          <w:rFonts w:ascii="Arial" w:hAnsi="Arial" w:cs="Verdana"/>
          <w:color w:val="000000"/>
          <w:sz w:val="19"/>
          <w:szCs w:val="19"/>
          <w:shd w:fill="auto" w:val="clear"/>
        </w:rPr>
      </w:pPr>
      <w:r>
        <w:rPr>
          <w:rFonts w:cs="Verdana" w:ascii="Arial" w:hAnsi="Arial"/>
          <w:color w:val="000000"/>
          <w:sz w:val="19"/>
          <w:szCs w:val="19"/>
          <w:shd w:fill="auto" w:val="clear"/>
        </w:rPr>
      </w:r>
    </w:p>
    <w:p>
      <w:pPr>
        <w:pStyle w:val="Normal"/>
        <w:tabs>
          <w:tab w:val="clear" w:pos="709"/>
          <w:tab w:val="center" w:pos="1985" w:leader="none"/>
          <w:tab w:val="center" w:pos="7655" w:leader="none"/>
        </w:tabs>
        <w:overflowPunct w:val="false"/>
        <w:spacing w:lineRule="auto" w:line="240" w:before="0" w:after="120"/>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r>
    </w:p>
    <w:tbl>
      <w:tblPr>
        <w:tblW w:w="5000" w:type="pct"/>
        <w:jc w:val="left"/>
        <w:tblInd w:w="0" w:type="dxa"/>
        <w:tblLayout w:type="fixed"/>
        <w:tblCellMar>
          <w:top w:w="55" w:type="dxa"/>
          <w:left w:w="108" w:type="dxa"/>
          <w:bottom w:w="55" w:type="dxa"/>
          <w:right w:w="108" w:type="dxa"/>
        </w:tblCellMar>
      </w:tblPr>
      <w:tblGrid>
        <w:gridCol w:w="4470"/>
        <w:gridCol w:w="693"/>
        <w:gridCol w:w="4475"/>
      </w:tblGrid>
      <w:tr>
        <w:trPr>
          <w:trHeight w:val="283" w:hRule="atLeast"/>
        </w:trPr>
        <w:tc>
          <w:tcPr>
            <w:tcW w:w="4470" w:type="dxa"/>
            <w:tcBorders>
              <w:top w:val="single" w:sz="4" w:space="0" w:color="000000"/>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&lt;Nome_Representante&gt;</w:t>
            </w:r>
          </w:p>
        </w:tc>
        <w:tc>
          <w:tcPr>
            <w:tcW w:w="693" w:type="dxa"/>
            <w:tcBorders/>
          </w:tcPr>
          <w:p>
            <w:pPr>
              <w:pStyle w:val="Normal"/>
              <w:widowControl w:val="false"/>
              <w:tabs>
                <w:tab w:val="clear" w:pos="709"/>
                <w:tab w:val="center" w:pos="1985" w:leader="none"/>
                <w:tab w:val="center" w:pos="7655" w:leader="none"/>
              </w:tabs>
              <w:overflowPunct w:val="true"/>
              <w:snapToGrid w:val="false"/>
              <w:spacing w:lineRule="auto" w:line="240" w:before="0" w:after="0"/>
              <w:jc w:val="both"/>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op w:val="single" w:sz="4" w:space="0" w:color="000000"/>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Marco Antonio Franzato</w:t>
            </w:r>
          </w:p>
        </w:tc>
      </w:tr>
      <w:tr>
        <w:trPr>
          <w:trHeight w:val="283" w:hRule="atLeast"/>
        </w:trPr>
        <w:tc>
          <w:tcPr>
            <w:tcW w:w="4470" w:type="dxa"/>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&lt;Nome_Fornecedor&gt;</w:t>
            </w:r>
          </w:p>
        </w:tc>
        <w:tc>
          <w:tcPr>
            <w:tcW w:w="693" w:type="dxa"/>
            <w:tcBorders/>
          </w:tcPr>
          <w:p>
            <w:pPr>
              <w:pStyle w:val="Normal"/>
              <w:widowControl w:val="false"/>
              <w:tabs>
                <w:tab w:val="clear" w:pos="709"/>
                <w:tab w:val="center" w:pos="1985" w:leader="none"/>
                <w:tab w:val="center" w:pos="7655" w:leader="none"/>
              </w:tabs>
              <w:overflowPunct w:val="true"/>
              <w:snapToGrid w:val="false"/>
              <w:spacing w:lineRule="auto" w:line="240" w:before="0" w:after="0"/>
              <w:jc w:val="both"/>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Prefeito</w:t>
            </w:r>
          </w:p>
        </w:tc>
      </w:tr>
      <w:tr>
        <w:trPr>
          <w:trHeight w:val="283" w:hRule="atLeast"/>
        </w:trPr>
        <w:tc>
          <w:tcPr>
            <w:tcW w:w="4470" w:type="dxa"/>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Contratada</w:t>
            </w:r>
          </w:p>
        </w:tc>
        <w:tc>
          <w:tcPr>
            <w:tcW w:w="693" w:type="dxa"/>
            <w:tcBorders/>
          </w:tcPr>
          <w:p>
            <w:pPr>
              <w:pStyle w:val="Normal"/>
              <w:widowControl w:val="false"/>
              <w:tabs>
                <w:tab w:val="clear" w:pos="709"/>
                <w:tab w:val="center" w:pos="1985" w:leader="none"/>
                <w:tab w:val="center" w:pos="7655" w:leader="none"/>
              </w:tabs>
              <w:overflowPunct w:val="true"/>
              <w:snapToGrid w:val="false"/>
              <w:spacing w:lineRule="auto" w:line="240" w:before="0" w:after="0"/>
              <w:jc w:val="both"/>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Contratante</w:t>
            </w:r>
          </w:p>
        </w:tc>
      </w:tr>
      <w:tr>
        <w:trPr>
          <w:trHeight w:val="283" w:hRule="atLeast"/>
        </w:trPr>
        <w:tc>
          <w:tcPr>
            <w:tcW w:w="9638" w:type="dxa"/>
            <w:gridSpan w:val="3"/>
            <w:tcBorders/>
          </w:tcPr>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Arial"/>
                <w:b/>
                <w:b/>
                <w:color w:val="000000"/>
                <w:sz w:val="19"/>
                <w:szCs w:val="19"/>
                <w:lang w:eastAsia="pt-BR"/>
              </w:rPr>
            </w:pPr>
            <w:r>
              <w:rPr>
                <w:rFonts w:cs="Arial" w:ascii="Arial" w:hAnsi="Arial"/>
                <w:b/>
                <w:color w:val="000000"/>
                <w:sz w:val="19"/>
                <w:szCs w:val="19"/>
                <w:lang w:eastAsia="pt-BR"/>
              </w:rPr>
            </w:r>
          </w:p>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Arial"/>
                <w:b/>
                <w:b/>
                <w:color w:val="000000"/>
                <w:sz w:val="19"/>
                <w:szCs w:val="19"/>
                <w:lang w:eastAsia="pt-BR"/>
              </w:rPr>
            </w:pPr>
            <w:r>
              <w:rPr>
                <w:rFonts w:cs="Arial" w:ascii="Arial" w:hAnsi="Arial"/>
                <w:b/>
                <w:color w:val="000000"/>
                <w:sz w:val="19"/>
                <w:szCs w:val="19"/>
                <w:lang w:eastAsia="pt-BR"/>
              </w:rPr>
            </w:r>
          </w:p>
          <w:p>
            <w:pPr>
              <w:pStyle w:val="Normal"/>
              <w:widowControl w:val="false"/>
              <w:tabs>
                <w:tab w:val="clear" w:pos="709"/>
                <w:tab w:val="center" w:pos="1985" w:leader="none"/>
                <w:tab w:val="center" w:pos="7655" w:leader="none"/>
              </w:tabs>
              <w:overflowPunct w:val="true"/>
              <w:spacing w:lineRule="auto" w:line="240" w:before="0" w:after="0"/>
              <w:jc w:val="center"/>
              <w:textAlignment w:val="baseline"/>
              <w:rPr>
                <w:rFonts w:ascii="Arial" w:hAnsi="Arial" w:cs="Arial"/>
                <w:b/>
                <w:b/>
                <w:color w:val="000000"/>
                <w:sz w:val="19"/>
                <w:szCs w:val="19"/>
                <w:lang w:eastAsia="pt-BR"/>
              </w:rPr>
            </w:pPr>
            <w:r>
              <w:rPr>
                <w:rFonts w:cs="Arial" w:ascii="Arial" w:hAnsi="Arial"/>
                <w:b/>
                <w:color w:val="000000"/>
                <w:sz w:val="19"/>
                <w:szCs w:val="19"/>
                <w:lang w:eastAsia="pt-BR"/>
              </w:rPr>
              <w:t>TESTEMUNHAS</w:t>
            </w:r>
          </w:p>
        </w:tc>
      </w:tr>
      <w:tr>
        <w:trPr>
          <w:trHeight w:val="283" w:hRule="atLeast"/>
        </w:trPr>
        <w:tc>
          <w:tcPr>
            <w:tcW w:w="4470" w:type="dxa"/>
            <w:tcBorders>
              <w:top w:val="single" w:sz="4" w:space="0" w:color="000000"/>
            </w:tcBorders>
          </w:tcPr>
          <w:p>
            <w:pPr>
              <w:pStyle w:val="Normal"/>
              <w:widowControl w:val="false"/>
              <w:tabs>
                <w:tab w:val="clear" w:pos="709"/>
                <w:tab w:val="center" w:pos="1985" w:leader="none"/>
                <w:tab w:val="center" w:pos="7655" w:leader="none"/>
              </w:tabs>
              <w:overflowPunct w:val="fals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RG:</w:t>
            </w:r>
          </w:p>
        </w:tc>
        <w:tc>
          <w:tcPr>
            <w:tcW w:w="693" w:type="dxa"/>
            <w:tcBorders/>
          </w:tcPr>
          <w:p>
            <w:pPr>
              <w:pStyle w:val="Normal"/>
              <w:widowControl w:val="false"/>
              <w:tabs>
                <w:tab w:val="clear" w:pos="709"/>
                <w:tab w:val="center" w:pos="1985" w:leader="none"/>
                <w:tab w:val="center" w:pos="7655" w:leader="none"/>
              </w:tabs>
              <w:overflowPunct w:val="true"/>
              <w:snapToGrid w:val="false"/>
              <w:spacing w:lineRule="auto" w:line="240" w:before="0" w:after="0"/>
              <w:jc w:val="left"/>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op w:val="single" w:sz="4" w:space="0" w:color="000000"/>
            </w:tcBorders>
          </w:tcPr>
          <w:p>
            <w:pPr>
              <w:pStyle w:val="Normal"/>
              <w:widowControl w:val="false"/>
              <w:tabs>
                <w:tab w:val="clear" w:pos="709"/>
                <w:tab w:val="center" w:pos="1985" w:leader="none"/>
                <w:tab w:val="center" w:pos="7655" w:leader="none"/>
              </w:tabs>
              <w:overflowPunct w:val="fals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RG:</w:t>
            </w:r>
          </w:p>
        </w:tc>
      </w:tr>
      <w:tr>
        <w:trPr>
          <w:trHeight w:val="283" w:hRule="atLeast"/>
        </w:trPr>
        <w:tc>
          <w:tcPr>
            <w:tcW w:w="4470" w:type="dxa"/>
            <w:tcBorders/>
          </w:tcPr>
          <w:p>
            <w:pPr>
              <w:pStyle w:val="Normal"/>
              <w:widowControl w:val="false"/>
              <w:tabs>
                <w:tab w:val="clear" w:pos="709"/>
                <w:tab w:val="center" w:pos="1985" w:leader="none"/>
                <w:tab w:val="center" w:pos="7655" w:leader="none"/>
              </w:tabs>
              <w:overflowPunct w:val="fals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CPF:</w:t>
            </w:r>
          </w:p>
        </w:tc>
        <w:tc>
          <w:tcPr>
            <w:tcW w:w="693" w:type="dxa"/>
            <w:tcBorders/>
          </w:tcPr>
          <w:p>
            <w:pPr>
              <w:pStyle w:val="Normal"/>
              <w:widowControl w:val="false"/>
              <w:tabs>
                <w:tab w:val="clear" w:pos="709"/>
                <w:tab w:val="center" w:pos="1985" w:leader="none"/>
                <w:tab w:val="center" w:pos="7655" w:leader="none"/>
              </w:tabs>
              <w:overflowPunct w:val="true"/>
              <w:snapToGrid w:val="false"/>
              <w:spacing w:lineRule="auto" w:line="240" w:before="0" w:after="0"/>
              <w:jc w:val="left"/>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cPr>
          <w:p>
            <w:pPr>
              <w:pStyle w:val="Normal"/>
              <w:widowControl w:val="false"/>
              <w:tabs>
                <w:tab w:val="clear" w:pos="709"/>
                <w:tab w:val="center" w:pos="1985" w:leader="none"/>
                <w:tab w:val="center" w:pos="7655" w:leader="none"/>
              </w:tabs>
              <w:overflowPunct w:val="fals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CPF:</w:t>
            </w:r>
          </w:p>
        </w:tc>
      </w:tr>
    </w:tbl>
    <w:p>
      <w:pPr>
        <w:pStyle w:val="Ttulo2"/>
        <w:numPr>
          <w:ilvl w:val="1"/>
          <w:numId w:val="2"/>
        </w:numPr>
        <w:spacing w:lineRule="auto" w:line="240" w:before="31" w:after="62"/>
        <w:rPr>
          <w:color w:val="000000"/>
        </w:rPr>
      </w:pPr>
      <w:r>
        <w:br w:type="page"/>
      </w:r>
      <w:bookmarkStart w:id="5" w:name="__RefHeading___Toc33410_3041975443"/>
      <w:bookmarkEnd w:id="5"/>
      <w:r>
        <w:rPr>
          <w:color w:val="000000"/>
        </w:rPr>
        <w:t>ANEXO II</w:t>
      </w:r>
    </w:p>
    <w:p>
      <w:pPr>
        <w:pStyle w:val="Ttulo3"/>
        <w:numPr>
          <w:ilvl w:val="2"/>
          <w:numId w:val="2"/>
        </w:numPr>
        <w:spacing w:lineRule="auto" w:line="240" w:before="31" w:after="62"/>
        <w:rPr>
          <w:color w:val="000000"/>
        </w:rPr>
      </w:pPr>
      <w:bookmarkStart w:id="6" w:name="__RefHeading___Toc34721_3041975443"/>
      <w:bookmarkEnd w:id="6"/>
      <w:r>
        <w:rPr>
          <w:color w:val="000000"/>
        </w:rPr>
        <w:t>MODELO DE PROPOSTA DE PREÇOS</w:t>
      </w:r>
    </w:p>
    <w:tbl>
      <w:tblPr>
        <w:tblW w:w="5000" w:type="pct"/>
        <w:jc w:val="center"/>
        <w:tblInd w:w="0" w:type="dxa"/>
        <w:tblLayout w:type="fixed"/>
        <w:tblCellMar>
          <w:top w:w="0" w:type="dxa"/>
          <w:left w:w="70" w:type="dxa"/>
          <w:bottom w:w="0" w:type="dxa"/>
          <w:right w:w="70" w:type="dxa"/>
        </w:tblCellMar>
      </w:tblPr>
      <w:tblGrid>
        <w:gridCol w:w="2438"/>
        <w:gridCol w:w="2380"/>
        <w:gridCol w:w="4819"/>
      </w:tblGrid>
      <w:tr>
        <w:trPr/>
        <w:tc>
          <w:tcPr>
            <w:tcW w:w="9637" w:type="dxa"/>
            <w:gridSpan w:val="3"/>
            <w:tcBorders>
              <w:top w:val="single" w:sz="4" w:space="0" w:color="000000"/>
              <w:left w:val="single" w:sz="4" w:space="0" w:color="000000"/>
              <w:bottom w:val="single" w:sz="4" w:space="0" w:color="000000"/>
              <w:right w:val="single" w:sz="4" w:space="0" w:color="000000"/>
            </w:tcBorders>
            <w:shd w:fill="E5E5E5" w:val="clear"/>
            <w:vAlign w:val="center"/>
          </w:tcPr>
          <w:p>
            <w:pPr>
              <w:pStyle w:val="Normal"/>
              <w:widowControl w:val="false"/>
              <w:overflowPunct w:val="true"/>
              <w:spacing w:lineRule="auto" w:line="240" w:before="31" w:after="62"/>
              <w:jc w:val="center"/>
              <w:textAlignment w:val="baseline"/>
              <w:rPr>
                <w:rFonts w:ascii="Arial" w:hAnsi="Arial"/>
                <w:b/>
                <w:b/>
                <w:color w:val="000000"/>
                <w:sz w:val="19"/>
                <w:szCs w:val="19"/>
              </w:rPr>
            </w:pPr>
            <w:r>
              <w:rPr>
                <w:rFonts w:eastAsia="MS Mincho;ＭＳ 明朝" w:cs="Verdana" w:ascii="Arial" w:hAnsi="Arial"/>
                <w:b/>
                <w:bCs/>
                <w:color w:val="000000"/>
                <w:sz w:val="19"/>
                <w:szCs w:val="19"/>
                <w:lang w:eastAsia="pt-BR"/>
              </w:rPr>
              <w:t xml:space="preserve">PREGÃO ELETRÔNICO </w:t>
            </w:r>
            <w:r>
              <w:rPr>
                <w:rFonts w:eastAsia="Times New Roman" w:cs="Verdana" w:ascii="Arial" w:hAnsi="Arial"/>
                <w:b/>
                <w:bCs/>
                <w:color w:val="FF0000"/>
                <w:sz w:val="18"/>
                <w:szCs w:val="18"/>
                <w:shd w:fill="auto" w:val="clear"/>
                <w:lang w:val="pt-BR" w:eastAsia="zh-CN" w:bidi="ar-SA"/>
              </w:rPr>
              <w:t>85/2025</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both"/>
              <w:textAlignment w:val="baseline"/>
              <w:rPr>
                <w:rFonts w:ascii="Arial" w:hAnsi="Arial" w:cs="Verdana"/>
                <w:color w:val="000000"/>
                <w:sz w:val="14"/>
                <w:szCs w:val="14"/>
              </w:rPr>
            </w:pPr>
            <w:r>
              <w:rPr>
                <w:rFonts w:cs="Verdana" w:ascii="Arial" w:hAnsi="Arial"/>
                <w:b/>
                <w:bCs/>
                <w:color w:val="000000"/>
                <w:sz w:val="14"/>
                <w:szCs w:val="14"/>
              </w:rPr>
              <w:t>OBJETO: Aquisição de roçadeira hidráulica.</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Empresa:</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CNPJ:</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b w:val="false"/>
                <w:bCs w:val="false"/>
                <w:color w:val="000000"/>
                <w:sz w:val="14"/>
                <w:szCs w:val="14"/>
              </w:rPr>
              <w:t xml:space="preserve">Enquadramento da empresa: (Mencionar se a empresa é </w:t>
            </w:r>
            <w:r>
              <w:rPr>
                <w:rFonts w:cs="Verdana" w:ascii="Arial" w:hAnsi="Arial"/>
                <w:b w:val="false"/>
                <w:bCs w:val="false"/>
                <w:color w:val="000000"/>
                <w:sz w:val="14"/>
                <w:szCs w:val="14"/>
                <w:shd w:fill="FFFF00" w:val="clear"/>
              </w:rPr>
              <w:t>ME / EPP/MEI</w:t>
            </w:r>
            <w:r>
              <w:rPr>
                <w:rFonts w:cs="Verdana" w:ascii="Arial" w:hAnsi="Arial"/>
                <w:b w:val="false"/>
                <w:bCs w:val="false"/>
                <w:color w:val="000000"/>
                <w:sz w:val="14"/>
                <w:szCs w:val="14"/>
              </w:rPr>
              <w:t>)</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Endereço:</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Fone:</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E-mail:</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Cidade/Estado:</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s="Verdana"/>
                <w:color w:val="000000"/>
                <w:sz w:val="14"/>
                <w:szCs w:val="14"/>
              </w:rPr>
            </w:pPr>
            <w:r>
              <w:rPr>
                <w:rFonts w:eastAsia="MS Mincho;ＭＳ 明朝" w:cs="Verdana" w:ascii="Arial" w:hAnsi="Arial"/>
                <w:color w:val="000000"/>
                <w:sz w:val="14"/>
                <w:szCs w:val="14"/>
                <w:lang w:eastAsia="pt-BR"/>
              </w:rPr>
              <w:t xml:space="preserve">Tipo de licitação: </w:t>
            </w:r>
            <w:r>
              <w:rPr>
                <w:rFonts w:eastAsia="MS Mincho;ＭＳ 明朝" w:cs="Verdana" w:ascii="Arial" w:hAnsi="Arial"/>
                <w:b/>
                <w:bCs/>
                <w:color w:val="C9211E"/>
                <w:sz w:val="14"/>
                <w:szCs w:val="14"/>
                <w:lang w:val="pt-BR" w:eastAsia="pt-BR" w:bidi="ar-SA"/>
              </w:rPr>
              <w:t>Menor Preço por Item.</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both"/>
              <w:textAlignment w:val="baseline"/>
              <w:rPr>
                <w:rFonts w:ascii="Arial" w:hAnsi="Arial" w:cs="Verdana"/>
                <w:color w:val="000000"/>
                <w:sz w:val="14"/>
                <w:szCs w:val="14"/>
              </w:rPr>
            </w:pPr>
            <w:r>
              <w:rPr>
                <w:rFonts w:cs="Verdana" w:ascii="Arial" w:hAnsi="Arial"/>
                <w:color w:val="000000"/>
                <w:sz w:val="14"/>
                <w:szCs w:val="14"/>
              </w:rPr>
              <w:t>Este e todos os outros anexos fazem parte do edital de licitação</w:t>
            </w:r>
            <w:r>
              <w:rPr>
                <w:rFonts w:cs="Arial-BoldMT" w:ascii="Arial" w:hAnsi="Arial"/>
                <w:b/>
                <w:bCs/>
                <w:color w:val="000000"/>
                <w:sz w:val="14"/>
                <w:szCs w:val="14"/>
              </w:rPr>
              <w:t xml:space="preserve"> </w:t>
            </w:r>
            <w:r>
              <w:rPr>
                <w:rFonts w:cs="Verdana" w:ascii="Arial" w:hAnsi="Arial"/>
                <w:color w:val="000000"/>
                <w:sz w:val="14"/>
                <w:szCs w:val="14"/>
              </w:rPr>
              <w:t xml:space="preserve">Pregão Eletrônico nº </w:t>
            </w:r>
            <w:r>
              <w:rPr>
                <w:rFonts w:cs="Verdana" w:ascii="Arial" w:hAnsi="Arial"/>
                <w:b/>
                <w:color w:val="FF0000"/>
                <w:sz w:val="14"/>
                <w:szCs w:val="14"/>
              </w:rPr>
              <w:t>85/2025</w:t>
            </w:r>
            <w:r>
              <w:rPr>
                <w:rFonts w:cs="Arial" w:ascii="Arial" w:hAnsi="Arial"/>
                <w:b/>
                <w:color w:val="000000"/>
                <w:sz w:val="14"/>
                <w:szCs w:val="14"/>
                <w:lang w:val="pt-BR" w:eastAsia="pt-BR"/>
              </w:rPr>
              <w:t xml:space="preserve"> </w:t>
            </w:r>
            <w:r>
              <w:rPr>
                <w:rFonts w:cs="Verdana" w:ascii="Arial" w:hAnsi="Arial"/>
                <w:color w:val="000000"/>
                <w:sz w:val="14"/>
                <w:szCs w:val="14"/>
              </w:rPr>
              <w:t>como se nele estivessem transcritos.</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both"/>
              <w:textAlignment w:val="baseline"/>
              <w:rPr>
                <w:rFonts w:ascii="Arial" w:hAnsi="Arial"/>
                <w:color w:val="000000"/>
                <w:sz w:val="14"/>
                <w:szCs w:val="14"/>
                <w:shd w:fill="auto" w:val="clear"/>
              </w:rPr>
            </w:pPr>
            <w:r>
              <w:rPr>
                <w:rFonts w:cs="Verdana" w:ascii="Arial" w:hAnsi="Arial"/>
                <w:b/>
                <w:color w:val="000000"/>
                <w:sz w:val="14"/>
                <w:szCs w:val="14"/>
                <w:shd w:fill="auto" w:val="clear"/>
              </w:rPr>
              <w:t xml:space="preserve">Entrega: </w:t>
            </w:r>
            <w:r>
              <w:rPr>
                <w:rFonts w:cs="Verdana" w:ascii="Arial" w:hAnsi="Arial"/>
                <w:b/>
                <w:bCs/>
                <w:color w:val="000000"/>
                <w:sz w:val="14"/>
                <w:szCs w:val="14"/>
                <w:shd w:fill="auto" w:val="clear"/>
              </w:rPr>
              <w:t>A empresa contratada deverá entregar os produtos no prazo de 10 dias úteis, na Secretaria Municipal de Obras e Serviços Públicos, Av. Rio Branco nº 1.350 em Cianorte – PR.</w:t>
            </w:r>
          </w:p>
        </w:tc>
      </w:tr>
      <w:tr>
        <w:trPr>
          <w:trHeight w:val="380" w:hRule="exact"/>
          <w:cantSplit w:val="true"/>
        </w:trPr>
        <w:tc>
          <w:tcPr>
            <w:tcW w:w="4818" w:type="dxa"/>
            <w:gridSpan w:val="2"/>
            <w:tcBorders>
              <w:left w:val="single" w:sz="4" w:space="0" w:color="000000"/>
              <w:bottom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olor w:val="000000"/>
                <w:sz w:val="14"/>
                <w:szCs w:val="14"/>
                <w:shd w:fill="auto" w:val="clear"/>
              </w:rPr>
            </w:pPr>
            <w:r>
              <w:rPr>
                <w:rFonts w:cs="Verdana" w:ascii="Arial" w:hAnsi="Arial"/>
                <w:b/>
                <w:color w:val="000000"/>
                <w:sz w:val="14"/>
                <w:szCs w:val="14"/>
                <w:shd w:fill="auto" w:val="clear"/>
              </w:rPr>
              <w:t xml:space="preserve">Validade da proposta: </w:t>
            </w:r>
            <w:r>
              <w:rPr>
                <w:rFonts w:cs="Verdana" w:ascii="Arial" w:hAnsi="Arial"/>
                <w:color w:val="000000"/>
                <w:sz w:val="14"/>
                <w:szCs w:val="14"/>
                <w:shd w:fill="auto" w:val="clear"/>
              </w:rPr>
              <w:t>60 dias</w:t>
            </w:r>
          </w:p>
        </w:tc>
        <w:tc>
          <w:tcPr>
            <w:tcW w:w="4819" w:type="dxa"/>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31" w:after="62"/>
              <w:jc w:val="left"/>
              <w:textAlignment w:val="baseline"/>
              <w:rPr>
                <w:rFonts w:ascii="Arial" w:hAnsi="Arial"/>
                <w:color w:val="000000"/>
                <w:sz w:val="14"/>
                <w:szCs w:val="14"/>
                <w:shd w:fill="auto" w:val="clear"/>
              </w:rPr>
            </w:pPr>
            <w:r>
              <w:rPr>
                <w:rFonts w:cs="Verdana" w:ascii="Arial" w:hAnsi="Arial"/>
                <w:b/>
                <w:color w:val="000000"/>
                <w:sz w:val="14"/>
                <w:szCs w:val="14"/>
                <w:shd w:fill="auto" w:val="clear"/>
              </w:rPr>
              <w:t>Execução: 01 ano.</w:t>
            </w:r>
          </w:p>
        </w:tc>
      </w:tr>
      <w:tr>
        <w:trPr>
          <w:trHeight w:val="657" w:hRule="atLeast"/>
          <w:cantSplit w:val="true"/>
        </w:trPr>
        <w:tc>
          <w:tcPr>
            <w:tcW w:w="9637" w:type="dxa"/>
            <w:gridSpan w:val="3"/>
            <w:tcBorders>
              <w:top w:val="single" w:sz="4" w:space="0" w:color="000000"/>
              <w:left w:val="single" w:sz="4" w:space="0" w:color="000000"/>
              <w:right w:val="single" w:sz="4" w:space="0" w:color="000000"/>
            </w:tcBorders>
            <w:tcMar>
              <w:top w:w="55" w:type="dxa"/>
              <w:bottom w:w="55" w:type="dxa"/>
            </w:tcMar>
            <w:vAlign w:val="center"/>
          </w:tcPr>
          <w:p>
            <w:pPr>
              <w:pStyle w:val="Normal"/>
              <w:widowControl w:val="false"/>
              <w:overflowPunct w:val="tru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Propomos o fornecimento dos produtos nos valores e nos prazos mencionados, sob as condições gerais e específicas indicadas neste formulário, com as quais concordamos.</w:t>
            </w:r>
          </w:p>
        </w:tc>
      </w:tr>
      <w:tr>
        <w:trPr>
          <w:trHeight w:val="482" w:hRule="atLeast"/>
          <w:cantSplit w:val="true"/>
        </w:trPr>
        <w:tc>
          <w:tcPr>
            <w:tcW w:w="2438" w:type="dxa"/>
            <w:tcBorders>
              <w:left w:val="single" w:sz="4" w:space="0" w:color="000000"/>
              <w:bottom w:val="single" w:sz="4" w:space="0" w:color="000000"/>
            </w:tcBorders>
            <w:tcMar>
              <w:top w:w="55" w:type="dxa"/>
              <w:bottom w:w="55" w:type="dxa"/>
            </w:tcMar>
            <w:vAlign w:val="center"/>
          </w:tcPr>
          <w:p>
            <w:pPr>
              <w:pStyle w:val="Normal"/>
              <w:widowControl w:val="false"/>
              <w:overflowPunct w:val="tru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Em ____/____/____</w:t>
            </w:r>
          </w:p>
        </w:tc>
        <w:tc>
          <w:tcPr>
            <w:tcW w:w="7199" w:type="dxa"/>
            <w:gridSpan w:val="2"/>
            <w:tcBorders>
              <w:bottom w:val="single" w:sz="4" w:space="0" w:color="000000"/>
              <w:right w:val="single" w:sz="4" w:space="0" w:color="000000"/>
            </w:tcBorders>
            <w:tcMar>
              <w:top w:w="55" w:type="dxa"/>
              <w:bottom w:w="55" w:type="dxa"/>
            </w:tcMar>
            <w:vAlign w:val="bottom"/>
          </w:tcPr>
          <w:p>
            <w:pPr>
              <w:pStyle w:val="Normal"/>
              <w:widowControl w:val="false"/>
              <w:overflowPunct w:val="tru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_________________________________________</w:t>
            </w:r>
          </w:p>
          <w:p>
            <w:pPr>
              <w:pStyle w:val="Normal"/>
              <w:widowControl w:val="false"/>
              <w:overflowPunct w:val="tru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ASSINATURA</w:t>
            </w:r>
          </w:p>
        </w:tc>
      </w:tr>
    </w:tbl>
    <w:p>
      <w:pPr>
        <w:pStyle w:val="Normal"/>
        <w:spacing w:lineRule="auto" w:line="240" w:before="31" w:after="62"/>
        <w:rPr>
          <w:color w:val="000000"/>
          <w:sz w:val="6"/>
          <w:szCs w:val="6"/>
        </w:rPr>
      </w:pPr>
      <w:r>
        <w:rPr>
          <w:color w:val="000000"/>
          <w:sz w:val="6"/>
          <w:szCs w:val="6"/>
        </w:rPr>
      </w:r>
    </w:p>
    <w:tbl>
      <w:tblPr>
        <w:tblW w:w="5000" w:type="pct"/>
        <w:jc w:val="left"/>
        <w:tblInd w:w="57" w:type="dxa"/>
        <w:tblLayout w:type="fixed"/>
        <w:tblCellMar>
          <w:top w:w="55" w:type="dxa"/>
          <w:left w:w="55" w:type="dxa"/>
          <w:bottom w:w="55" w:type="dxa"/>
          <w:right w:w="55" w:type="dxa"/>
        </w:tblCellMar>
      </w:tblPr>
      <w:tblGrid>
        <w:gridCol w:w="397"/>
        <w:gridCol w:w="582"/>
        <w:gridCol w:w="321"/>
        <w:gridCol w:w="295"/>
        <w:gridCol w:w="427"/>
        <w:gridCol w:w="2565"/>
        <w:gridCol w:w="230"/>
        <w:gridCol w:w="507"/>
        <w:gridCol w:w="852"/>
        <w:gridCol w:w="738"/>
        <w:gridCol w:w="858"/>
        <w:gridCol w:w="905"/>
        <w:gridCol w:w="960"/>
      </w:tblGrid>
      <w:tr>
        <w:trPr>
          <w:tblHeader w:val="true"/>
          <w:trHeight w:val="322" w:hRule="atLeast"/>
          <w:cantSplit w:val="true"/>
        </w:trPr>
        <w:tc>
          <w:tcPr>
            <w:tcW w:w="9637" w:type="dxa"/>
            <w:gridSpan w:val="1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Caso nossa empresa seja uma das vencedoras desta licitação, o contrato deverá ser assinado por:</w:t>
            </w:r>
          </w:p>
        </w:tc>
      </w:tr>
      <w:tr>
        <w:trPr>
          <w:trHeight w:val="250" w:hRule="atLeast"/>
          <w:cantSplit w:val="true"/>
        </w:trPr>
        <w:tc>
          <w:tcPr>
            <w:tcW w:w="9637" w:type="dxa"/>
            <w:gridSpan w:val="1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0" w:after="0"/>
              <w:jc w:val="left"/>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NOME:</w:t>
            </w:r>
          </w:p>
        </w:tc>
      </w:tr>
      <w:tr>
        <w:trPr>
          <w:trHeight w:val="240" w:hRule="atLeast"/>
          <w:cantSplit w:val="true"/>
        </w:trPr>
        <w:tc>
          <w:tcPr>
            <w:tcW w:w="1300" w:type="dxa"/>
            <w:gridSpan w:val="3"/>
            <w:tcBorders>
              <w:left w:val="single" w:sz="4" w:space="0" w:color="000000"/>
              <w:bottom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R.G</w:t>
            </w:r>
          </w:p>
        </w:tc>
        <w:tc>
          <w:tcPr>
            <w:tcW w:w="3287" w:type="dxa"/>
            <w:gridSpan w:val="3"/>
            <w:tcBorders>
              <w:bottom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c>
          <w:tcPr>
            <w:tcW w:w="737" w:type="dxa"/>
            <w:gridSpan w:val="2"/>
            <w:tcBorders>
              <w:bottom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C.P.F</w:t>
            </w:r>
          </w:p>
        </w:tc>
        <w:tc>
          <w:tcPr>
            <w:tcW w:w="4313" w:type="dxa"/>
            <w:gridSpan w:val="5"/>
            <w:tcBorders>
              <w:bottom w:val="single" w:sz="4" w:space="0" w:color="000000"/>
              <w:right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r>
      <w:tr>
        <w:trPr>
          <w:trHeight w:val="240" w:hRule="atLeast"/>
          <w:cantSplit w:val="true"/>
        </w:trPr>
        <w:tc>
          <w:tcPr>
            <w:tcW w:w="9637" w:type="dxa"/>
            <w:gridSpan w:val="13"/>
            <w:tcBorders>
              <w:left w:val="single" w:sz="4" w:space="0" w:color="000000"/>
              <w:bottom w:val="single" w:sz="4" w:space="0" w:color="000000"/>
              <w:right w:val="single" w:sz="4" w:space="0" w:color="000000"/>
            </w:tcBorders>
            <w:vAlign w:val="center"/>
          </w:tcPr>
          <w:p>
            <w:pPr>
              <w:pStyle w:val="Normal"/>
              <w:widowControl w:val="false"/>
              <w:overflowPunct w:val="true"/>
              <w:spacing w:lineRule="auto" w:line="240" w:before="0" w:after="0"/>
              <w:jc w:val="left"/>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NOME:</w:t>
            </w:r>
          </w:p>
        </w:tc>
      </w:tr>
      <w:tr>
        <w:trPr>
          <w:trHeight w:val="240" w:hRule="atLeast"/>
          <w:cantSplit w:val="true"/>
        </w:trPr>
        <w:tc>
          <w:tcPr>
            <w:tcW w:w="1300" w:type="dxa"/>
            <w:gridSpan w:val="3"/>
            <w:tcBorders>
              <w:left w:val="single" w:sz="4" w:space="0" w:color="000000"/>
              <w:bottom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R.G</w:t>
            </w:r>
          </w:p>
        </w:tc>
        <w:tc>
          <w:tcPr>
            <w:tcW w:w="3287" w:type="dxa"/>
            <w:gridSpan w:val="3"/>
            <w:tcBorders>
              <w:bottom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c>
          <w:tcPr>
            <w:tcW w:w="737" w:type="dxa"/>
            <w:gridSpan w:val="2"/>
            <w:tcBorders>
              <w:bottom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C.P.F</w:t>
            </w:r>
          </w:p>
        </w:tc>
        <w:tc>
          <w:tcPr>
            <w:tcW w:w="4313" w:type="dxa"/>
            <w:gridSpan w:val="5"/>
            <w:tcBorders>
              <w:bottom w:val="single" w:sz="4" w:space="0" w:color="000000"/>
              <w:right w:val="single" w:sz="4" w:space="0" w:color="000000"/>
            </w:tcBorders>
            <w:vAlign w:val="center"/>
          </w:tcPr>
          <w:p>
            <w:pPr>
              <w:pStyle w:val="Normal"/>
              <w:widowControl w:val="false"/>
              <w:overflowPunct w:val="tru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r>
      <w:tr>
        <w:trPr/>
        <w:tc>
          <w:tcPr>
            <w:tcW w:w="397" w:type="dxa"/>
            <w:tcBorders>
              <w:top w:val="single" w:sz="2" w:space="0" w:color="000000"/>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pPr>
            <w:r>
              <w:rPr>
                <w:rFonts w:cs="Arial" w:ascii="Arial" w:hAnsi="Arial"/>
                <w:b/>
                <w:color w:val="000000"/>
                <w:sz w:val="10"/>
                <w:szCs w:val="10"/>
                <w:shd w:fill="auto" w:val="clear"/>
                <w:lang w:eastAsia="pt-BR"/>
              </w:rPr>
              <w:t>Item</w:t>
            </w:r>
          </w:p>
        </w:tc>
        <w:tc>
          <w:tcPr>
            <w:tcW w:w="582" w:type="dxa"/>
            <w:tcBorders>
              <w:top w:val="single" w:sz="2" w:space="0" w:color="000000"/>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pPr>
            <w:r>
              <w:rPr>
                <w:rFonts w:cs="Arial" w:ascii="Arial" w:hAnsi="Arial"/>
                <w:b/>
                <w:color w:val="000000"/>
                <w:sz w:val="10"/>
                <w:szCs w:val="10"/>
                <w:shd w:fill="auto" w:val="clear"/>
                <w:lang w:eastAsia="pt-BR"/>
              </w:rPr>
              <w:t>Cód.</w:t>
            </w:r>
          </w:p>
        </w:tc>
        <w:tc>
          <w:tcPr>
            <w:tcW w:w="616" w:type="dxa"/>
            <w:gridSpan w:val="2"/>
            <w:tcBorders>
              <w:top w:val="single" w:sz="2" w:space="0" w:color="000000"/>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pPr>
            <w:r>
              <w:rPr>
                <w:rFonts w:cs="Arial" w:ascii="Arial" w:hAnsi="Arial"/>
                <w:b/>
                <w:color w:val="000000"/>
                <w:sz w:val="10"/>
                <w:szCs w:val="10"/>
                <w:shd w:fill="auto" w:val="clear"/>
                <w:lang w:eastAsia="pt-BR"/>
              </w:rPr>
              <w:t>Qtde</w:t>
            </w:r>
          </w:p>
        </w:tc>
        <w:tc>
          <w:tcPr>
            <w:tcW w:w="427" w:type="dxa"/>
            <w:tcBorders>
              <w:top w:val="single" w:sz="2" w:space="0" w:color="000000"/>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pPr>
            <w:r>
              <w:rPr>
                <w:rFonts w:cs="Arial" w:ascii="Arial" w:hAnsi="Arial"/>
                <w:b/>
                <w:color w:val="000000"/>
                <w:sz w:val="10"/>
                <w:szCs w:val="10"/>
                <w:shd w:fill="auto" w:val="clear"/>
                <w:lang w:eastAsia="pt-BR"/>
              </w:rPr>
              <w:t>Unid.</w:t>
            </w:r>
          </w:p>
        </w:tc>
        <w:tc>
          <w:tcPr>
            <w:tcW w:w="4154" w:type="dxa"/>
            <w:gridSpan w:val="4"/>
            <w:tcBorders>
              <w:top w:val="single" w:sz="2" w:space="0" w:color="000000"/>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pPr>
            <w:r>
              <w:rPr>
                <w:rFonts w:cs="Arial" w:ascii="Arial" w:hAnsi="Arial"/>
                <w:b/>
                <w:color w:val="000000"/>
                <w:sz w:val="10"/>
                <w:szCs w:val="10"/>
                <w:shd w:fill="auto" w:val="clear"/>
                <w:lang w:eastAsia="pt-BR"/>
              </w:rPr>
              <w:t>Descrição</w:t>
            </w:r>
          </w:p>
        </w:tc>
        <w:tc>
          <w:tcPr>
            <w:tcW w:w="738" w:type="dxa"/>
            <w:tcBorders>
              <w:top w:val="single" w:sz="2" w:space="0" w:color="000000"/>
              <w:left w:val="single" w:sz="2" w:space="0" w:color="000000"/>
              <w:bottom w:val="single" w:sz="2" w:space="0" w:color="000000"/>
            </w:tcBorders>
            <w:shd w:fill="DDDDDD" w:val="clear"/>
            <w:vAlign w:val="center"/>
          </w:tcPr>
          <w:p>
            <w:pPr>
              <w:pStyle w:val="Normal"/>
              <w:widowControl w:val="false"/>
              <w:spacing w:lineRule="auto" w:line="240" w:before="57" w:after="0"/>
              <w:jc w:val="center"/>
              <w:rPr/>
            </w:pPr>
            <w:r>
              <w:rPr>
                <w:rFonts w:cs="Verdana" w:ascii="Arial" w:hAnsi="Arial"/>
                <w:b/>
                <w:bCs/>
                <w:color w:val="000000"/>
                <w:sz w:val="10"/>
                <w:szCs w:val="10"/>
                <w:shd w:fill="auto" w:val="clear"/>
                <w:lang w:eastAsia="pt-BR"/>
              </w:rPr>
              <w:t>Marca</w:t>
            </w:r>
          </w:p>
        </w:tc>
        <w:tc>
          <w:tcPr>
            <w:tcW w:w="858" w:type="dxa"/>
            <w:tcBorders>
              <w:top w:val="single" w:sz="2" w:space="0" w:color="000000"/>
              <w:left w:val="single" w:sz="2" w:space="0" w:color="000000"/>
              <w:bottom w:val="single" w:sz="2" w:space="0" w:color="000000"/>
            </w:tcBorders>
            <w:shd w:fill="DDDDDD" w:val="clear"/>
            <w:vAlign w:val="center"/>
          </w:tcPr>
          <w:p>
            <w:pPr>
              <w:pStyle w:val="Normal"/>
              <w:widowControl w:val="false"/>
              <w:spacing w:lineRule="auto" w:line="240" w:before="57" w:after="0"/>
              <w:jc w:val="center"/>
              <w:rPr/>
            </w:pPr>
            <w:r>
              <w:rPr>
                <w:rFonts w:cs="Verdana" w:ascii="Arial" w:hAnsi="Arial"/>
                <w:b/>
                <w:bCs/>
                <w:color w:val="000000"/>
                <w:sz w:val="10"/>
                <w:szCs w:val="10"/>
                <w:shd w:fill="auto" w:val="clear"/>
                <w:lang w:eastAsia="pt-BR"/>
              </w:rPr>
              <w:t>Teto Máximo Unitário</w:t>
            </w:r>
          </w:p>
        </w:tc>
        <w:tc>
          <w:tcPr>
            <w:tcW w:w="905" w:type="dxa"/>
            <w:tcBorders>
              <w:top w:val="single" w:sz="2" w:space="0" w:color="000000"/>
              <w:left w:val="single" w:sz="2" w:space="0" w:color="000000"/>
              <w:bottom w:val="single" w:sz="2" w:space="0" w:color="000000"/>
            </w:tcBorders>
            <w:shd w:fill="DDDDDD" w:val="clear"/>
            <w:vAlign w:val="center"/>
          </w:tcPr>
          <w:p>
            <w:pPr>
              <w:pStyle w:val="Normal"/>
              <w:widowControl w:val="false"/>
              <w:spacing w:lineRule="auto" w:line="240" w:before="57" w:after="0"/>
              <w:jc w:val="center"/>
              <w:rPr/>
            </w:pPr>
            <w:r>
              <w:rPr>
                <w:rFonts w:cs="Verdana" w:ascii="Arial" w:hAnsi="Arial"/>
                <w:b/>
                <w:bCs/>
                <w:color w:val="000000"/>
                <w:sz w:val="10"/>
                <w:szCs w:val="10"/>
                <w:shd w:fill="auto" w:val="clear"/>
                <w:lang w:eastAsia="pt-BR"/>
              </w:rPr>
              <w:t>Valor Unitário Proposto</w:t>
            </w:r>
          </w:p>
        </w:tc>
        <w:tc>
          <w:tcPr>
            <w:tcW w:w="960" w:type="dxa"/>
            <w:tcBorders>
              <w:top w:val="single" w:sz="2" w:space="0" w:color="000000"/>
              <w:left w:val="single" w:sz="2" w:space="0" w:color="000000"/>
              <w:bottom w:val="single" w:sz="2" w:space="0" w:color="000000"/>
              <w:right w:val="single" w:sz="2" w:space="0" w:color="000000"/>
            </w:tcBorders>
            <w:shd w:fill="DDDDDD" w:val="clear"/>
            <w:vAlign w:val="center"/>
          </w:tcPr>
          <w:p>
            <w:pPr>
              <w:pStyle w:val="Normal"/>
              <w:widowControl w:val="false"/>
              <w:spacing w:lineRule="auto" w:line="240" w:before="57" w:after="0"/>
              <w:jc w:val="center"/>
              <w:rPr/>
            </w:pPr>
            <w:r>
              <w:rPr>
                <w:rFonts w:cs="Verdana" w:ascii="Arial" w:hAnsi="Arial"/>
                <w:b/>
                <w:bCs/>
                <w:color w:val="000000"/>
                <w:sz w:val="10"/>
                <w:szCs w:val="10"/>
                <w:shd w:fill="auto" w:val="clear"/>
                <w:lang w:eastAsia="pt-BR"/>
              </w:rPr>
              <w:t>Valor Total Proposto</w:t>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w:t>
            </w:r>
          </w:p>
        </w:tc>
        <w:tc>
          <w:tcPr>
            <w:tcW w:w="582"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69525</w:t>
            </w:r>
          </w:p>
        </w:tc>
        <w:tc>
          <w:tcPr>
            <w:tcW w:w="616" w:type="dxa"/>
            <w:gridSpan w:val="2"/>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42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4" w:type="dxa"/>
            <w:gridSpan w:val="4"/>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Roçadeira hidráulica central e lateral para trabalhar com vários tipos de vegetações, com Transmissão: por Correias e esticador de fácil ajuste. Patins/sapatas laterais com regulagem da altura de corte, sendo chapas substituíveis com estrutura em chapa de aço. Largura de corte 1700 mm, sistema de giro livre. Número de facas/roçadores 02 sendo estas de Aço reforçado; Roda guia traseira para maior estabilidade e nivelamento; Altura de corte (regulável) mínimo: 40 mm; Acoplamento aos 3 pontos do trator categoria II e tomada de força. Proteção dianteira e traseira contra arremessos de detritos.</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color w:val="000000"/>
                <w:sz w:val="10"/>
                <w:szCs w:val="10"/>
                <w:shd w:fill="auto" w:val="clear"/>
                <w:lang w:eastAsia="pt-BR"/>
              </w:rPr>
            </w:pPr>
            <w:r>
              <w:rPr>
                <w:rFonts w:cs="Verdana" w:ascii="Arial" w:hAnsi="Arial"/>
                <w:b/>
                <w:bCs/>
                <w:color w:val="000000"/>
                <w:sz w:val="10"/>
                <w:szCs w:val="10"/>
                <w:shd w:fill="auto" w:val="clear"/>
                <w:lang w:eastAsia="pt-BR"/>
              </w:rPr>
            </w:r>
          </w:p>
        </w:tc>
        <w:tc>
          <w:tcPr>
            <w:tcW w:w="85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R$ 21.040,64</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color w:val="000000"/>
                <w:sz w:val="10"/>
                <w:szCs w:val="10"/>
                <w:shd w:fill="auto" w:val="clear"/>
                <w:lang w:eastAsia="pt-BR"/>
              </w:rPr>
            </w:pPr>
            <w:r>
              <w:rPr>
                <w:rFonts w:cs="Verdana" w:ascii="Arial" w:hAnsi="Arial"/>
                <w:b/>
                <w:bCs/>
                <w:color w:val="000000"/>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color w:val="000000"/>
                <w:sz w:val="10"/>
                <w:szCs w:val="10"/>
                <w:shd w:fill="auto" w:val="clear"/>
                <w:lang w:eastAsia="pt-BR"/>
              </w:rPr>
            </w:pPr>
            <w:r>
              <w:rPr>
                <w:rFonts w:cs="Verdana" w:ascii="Arial" w:hAnsi="Arial"/>
                <w:b/>
                <w:bCs/>
                <w:color w:val="000000"/>
                <w:sz w:val="10"/>
                <w:szCs w:val="10"/>
                <w:shd w:fill="auto" w:val="clear"/>
                <w:lang w:eastAsia="pt-BR"/>
              </w:rPr>
            </w:r>
          </w:p>
        </w:tc>
      </w:tr>
      <w:tr>
        <w:trPr/>
        <w:tc>
          <w:tcPr>
            <w:tcW w:w="4817" w:type="dxa"/>
            <w:gridSpan w:val="7"/>
            <w:tcBorders>
              <w:top w:val="single" w:sz="2" w:space="0" w:color="000000"/>
              <w:left w:val="single" w:sz="2" w:space="0" w:color="000000"/>
              <w:bottom w:val="single" w:sz="2" w:space="0" w:color="000000"/>
            </w:tcBorders>
          </w:tcPr>
          <w:p>
            <w:pPr>
              <w:pStyle w:val="Normal"/>
              <w:widowControl w:val="false"/>
              <w:overflowPunct w:val="false"/>
              <w:spacing w:lineRule="auto" w:line="240" w:before="0" w:after="0"/>
              <w:jc w:val="center"/>
              <w:textAlignment w:val="baseline"/>
              <w:rPr>
                <w:sz w:val="14"/>
                <w:szCs w:val="14"/>
              </w:rPr>
            </w:pPr>
            <w:r>
              <w:rPr>
                <w:rFonts w:eastAsia="MS Mincho;ＭＳ 明朝" w:cs="Verdana" w:ascii="Arial" w:hAnsi="Arial"/>
                <w:color w:val="000000"/>
                <w:sz w:val="14"/>
                <w:szCs w:val="14"/>
                <w:shd w:fill="auto" w:val="clear"/>
              </w:rPr>
              <w:t xml:space="preserve">TETO MÁXIMO TOTAL PARA O </w:t>
            </w:r>
            <w:r>
              <w:rPr>
                <w:rFonts w:eastAsia="MS Mincho;ＭＳ 明朝" w:cs="Verdana" w:ascii="Arial" w:hAnsi="Arial"/>
                <w:b/>
                <w:color w:val="000000"/>
                <w:sz w:val="14"/>
                <w:szCs w:val="14"/>
                <w:shd w:fill="auto" w:val="clear"/>
              </w:rPr>
              <w:t>ITEM</w:t>
            </w:r>
          </w:p>
          <w:p>
            <w:pPr>
              <w:pStyle w:val="Normal"/>
              <w:widowControl w:val="false"/>
              <w:overflowPunct w:val="false"/>
              <w:spacing w:lineRule="auto" w:line="240" w:before="0" w:after="0"/>
              <w:jc w:val="center"/>
              <w:textAlignment w:val="baseline"/>
              <w:rPr>
                <w:sz w:val="14"/>
                <w:szCs w:val="14"/>
              </w:rPr>
            </w:pPr>
            <w:r>
              <w:rPr>
                <w:rFonts w:cs="Verdana" w:ascii="Arial" w:hAnsi="Arial"/>
                <w:b/>
                <w:color w:val="FF0000"/>
                <w:sz w:val="14"/>
                <w:szCs w:val="14"/>
                <w:shd w:fill="auto" w:val="clear"/>
              </w:rPr>
              <w:t>R$ 21.040,64</w:t>
            </w:r>
          </w:p>
        </w:tc>
        <w:tc>
          <w:tcPr>
            <w:tcW w:w="4820" w:type="dxa"/>
            <w:gridSpan w:val="6"/>
            <w:tcBorders>
              <w:top w:val="single" w:sz="2" w:space="0" w:color="000000"/>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center"/>
              <w:textAlignment w:val="baseline"/>
              <w:rPr>
                <w:sz w:val="14"/>
                <w:szCs w:val="14"/>
              </w:rPr>
            </w:pPr>
            <w:r>
              <w:rPr>
                <w:rFonts w:eastAsia="MS Mincho;ＭＳ 明朝" w:cs="Arial-BoldMT" w:ascii="Arial" w:hAnsi="Arial"/>
                <w:bCs/>
                <w:color w:val="000000"/>
                <w:sz w:val="14"/>
                <w:szCs w:val="14"/>
                <w:shd w:fill="auto" w:val="clear"/>
              </w:rPr>
              <w:t>VALOR TOTAL PROPOSTO PARA O ITEM</w:t>
            </w:r>
            <w:r>
              <w:rPr>
                <w:rFonts w:eastAsia="MS Mincho;ＭＳ 明朝" w:cs="Arial-BoldMT" w:ascii="Arial" w:hAnsi="Arial"/>
                <w:b/>
                <w:bCs/>
                <w:color w:val="000000"/>
                <w:sz w:val="14"/>
                <w:szCs w:val="14"/>
                <w:shd w:fill="auto" w:val="clear"/>
              </w:rPr>
              <w:t xml:space="preserve"> R$</w:t>
            </w:r>
          </w:p>
        </w:tc>
      </w:tr>
    </w:tbl>
    <w:p>
      <w:pPr>
        <w:pStyle w:val="Normal"/>
        <w:overflowPunct w:val="true"/>
        <w:spacing w:lineRule="auto" w:line="240" w:before="62" w:after="62"/>
        <w:jc w:val="center"/>
        <w:textAlignment w:val="baseline"/>
        <w:rPr>
          <w:rFonts w:ascii="Arial" w:hAnsi="Arial" w:cs="Arial-BoldMT"/>
          <w:b/>
          <w:b/>
          <w:bCs/>
          <w:color w:val="C9211E"/>
          <w:sz w:val="19"/>
          <w:szCs w:val="19"/>
        </w:rPr>
      </w:pPr>
      <w:r>
        <w:rPr>
          <w:rFonts w:cs="Arial-BoldMT" w:ascii="Arial" w:hAnsi="Arial"/>
          <w:b/>
          <w:bCs/>
          <w:color w:val="C9211E"/>
          <w:sz w:val="19"/>
          <w:szCs w:val="19"/>
        </w:rPr>
      </w:r>
    </w:p>
    <w:p>
      <w:pPr>
        <w:pStyle w:val="Corpodotexto"/>
        <w:numPr>
          <w:ilvl w:val="0"/>
          <w:numId w:val="11"/>
        </w:numPr>
        <w:rPr>
          <w:color w:val="000000"/>
          <w:shd w:fill="auto" w:val="clear"/>
        </w:rPr>
      </w:pPr>
      <w:r>
        <w:rPr>
          <w:color w:val="000000"/>
          <w:shd w:fill="auto" w:val="clear"/>
        </w:rPr>
        <w:t>Fabricação 2025, nova, com no mínimo 01 ano de garantia e assistência técnica dentro do perímetro geográfico do Município de Cianorte.</w:t>
      </w:r>
    </w:p>
    <w:p>
      <w:pPr>
        <w:pStyle w:val="Corpodotexto"/>
        <w:numPr>
          <w:ilvl w:val="0"/>
          <w:numId w:val="11"/>
        </w:numPr>
        <w:rPr>
          <w:color w:val="000000"/>
          <w:shd w:fill="auto" w:val="clear"/>
        </w:rPr>
      </w:pPr>
      <w:r>
        <w:rPr/>
        <w:t>Modelos de referência: RP/RPU 1700 (BALDAN), ou RO² 1700 (TATU MARCHESAN).</w:t>
      </w:r>
      <w:r>
        <w:br w:type="page"/>
      </w:r>
    </w:p>
    <w:p>
      <w:pPr>
        <w:pStyle w:val="Ttulo2"/>
        <w:numPr>
          <w:ilvl w:val="1"/>
          <w:numId w:val="2"/>
        </w:numPr>
        <w:spacing w:lineRule="auto" w:line="240" w:before="0" w:after="62"/>
        <w:rPr/>
      </w:pPr>
      <w:bookmarkStart w:id="7" w:name="__RefHeading___Toc34179_30419754431"/>
      <w:bookmarkEnd w:id="7"/>
      <w:r>
        <w:rPr/>
        <w:t>ANEXO III</w:t>
      </w:r>
    </w:p>
    <w:p>
      <w:pPr>
        <w:pStyle w:val="Ttulo4"/>
        <w:numPr>
          <w:ilvl w:val="3"/>
          <w:numId w:val="1"/>
        </w:numPr>
        <w:jc w:val="center"/>
        <w:rPr>
          <w:rFonts w:ascii="Arial" w:hAnsi="Arial"/>
          <w:i w:val="false"/>
          <w:i w:val="false"/>
          <w:iCs w:val="false"/>
          <w:sz w:val="19"/>
          <w:szCs w:val="19"/>
        </w:rPr>
      </w:pPr>
      <w:bookmarkStart w:id="8" w:name="__RefHeading___Toc34723_30419754431"/>
      <w:bookmarkEnd w:id="8"/>
      <w:r>
        <w:rPr>
          <w:rFonts w:ascii="Arial" w:hAnsi="Arial"/>
          <w:i w:val="false"/>
          <w:iCs w:val="false"/>
          <w:sz w:val="19"/>
          <w:szCs w:val="19"/>
        </w:rPr>
        <w:t xml:space="preserve">MODELO DE DECLARAÇÃO </w:t>
      </w:r>
    </w:p>
    <w:p>
      <w:pPr>
        <w:pStyle w:val="Normal"/>
        <w:tabs>
          <w:tab w:val="clear" w:pos="709"/>
          <w:tab w:val="left" w:pos="993" w:leader="none"/>
        </w:tabs>
        <w:overflowPunct w:val="tru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r>
    </w:p>
    <w:p>
      <w:pPr>
        <w:pStyle w:val="Normal"/>
        <w:tabs>
          <w:tab w:val="clear" w:pos="709"/>
          <w:tab w:val="left" w:pos="993" w:leader="none"/>
        </w:tabs>
        <w:overflowPunct w:val="tru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t>Razão social:</w:t>
      </w:r>
    </w:p>
    <w:p>
      <w:pPr>
        <w:pStyle w:val="Normal"/>
        <w:tabs>
          <w:tab w:val="clear" w:pos="709"/>
          <w:tab w:val="left" w:pos="993" w:leader="none"/>
        </w:tabs>
        <w:overflowPunct w:val="tru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t xml:space="preserve">CNPJ: </w:t>
      </w:r>
    </w:p>
    <w:p>
      <w:pPr>
        <w:pStyle w:val="Normal"/>
        <w:tabs>
          <w:tab w:val="clear" w:pos="709"/>
          <w:tab w:val="left" w:pos="993" w:leader="none"/>
        </w:tabs>
        <w:overflowPunct w:val="tru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r>
    </w:p>
    <w:p>
      <w:pPr>
        <w:pStyle w:val="Normal"/>
        <w:tabs>
          <w:tab w:val="clear" w:pos="709"/>
          <w:tab w:val="left" w:pos="993" w:leader="none"/>
        </w:tabs>
        <w:overflowPunct w:val="true"/>
        <w:spacing w:lineRule="auto" w:line="240" w:before="31" w:after="62"/>
        <w:jc w:val="both"/>
        <w:textAlignment w:val="baseline"/>
        <w:rPr>
          <w:rFonts w:ascii="Arial" w:hAnsi="Arial" w:cs="Arial-BoldMT"/>
          <w:b/>
          <w:b/>
          <w:bCs/>
          <w:sz w:val="19"/>
          <w:szCs w:val="19"/>
          <w:shd w:fill="auto" w:val="clear"/>
        </w:rPr>
      </w:pPr>
      <w:r>
        <w:rPr>
          <w:rFonts w:cs="Arial-BoldMT" w:ascii="Arial" w:hAnsi="Arial"/>
          <w:b/>
          <w:bCs/>
          <w:sz w:val="19"/>
          <w:szCs w:val="19"/>
          <w:shd w:fill="auto" w:val="clear"/>
        </w:rPr>
      </w:r>
    </w:p>
    <w:p>
      <w:pPr>
        <w:pStyle w:val="Normal"/>
        <w:overflowPunct w:val="true"/>
        <w:spacing w:lineRule="auto" w:line="240" w:before="31" w:after="62"/>
        <w:jc w:val="both"/>
        <w:textAlignment w:val="baseline"/>
        <w:rPr>
          <w:rFonts w:ascii="Arial" w:hAnsi="Arial"/>
          <w:sz w:val="19"/>
          <w:szCs w:val="19"/>
          <w:shd w:fill="auto" w:val="clear"/>
        </w:rPr>
      </w:pPr>
      <w:r>
        <w:rPr>
          <w:rFonts w:cs="Arial-BoldMT" w:ascii="Arial" w:hAnsi="Arial"/>
          <w:b/>
          <w:bCs/>
          <w:sz w:val="19"/>
          <w:szCs w:val="19"/>
          <w:shd w:fill="auto" w:val="clear"/>
        </w:rPr>
        <w:t>Pregão Eletrônico</w:t>
      </w:r>
      <w:r>
        <w:rPr>
          <w:rFonts w:cs="Arial-BoldMT" w:ascii="Arial" w:hAnsi="Arial"/>
          <w:bCs/>
          <w:sz w:val="19"/>
          <w:szCs w:val="19"/>
          <w:shd w:fill="auto" w:val="clear"/>
        </w:rPr>
        <w:t xml:space="preserve"> nº </w:t>
      </w:r>
      <w:r>
        <w:rPr>
          <w:rFonts w:eastAsia="Times New Roman" w:cs="Verdana" w:ascii="Arial" w:hAnsi="Arial"/>
          <w:b/>
          <w:bCs/>
          <w:color w:val="FF0000"/>
          <w:sz w:val="18"/>
          <w:szCs w:val="18"/>
          <w:shd w:fill="auto" w:val="clear"/>
          <w:lang w:val="pt-BR" w:eastAsia="zh-CN" w:bidi="ar-SA"/>
        </w:rPr>
        <w:t>85/2025</w:t>
      </w:r>
    </w:p>
    <w:p>
      <w:pPr>
        <w:pStyle w:val="Normal"/>
        <w:overflowPunct w:val="true"/>
        <w:spacing w:lineRule="auto" w:line="240" w:before="31" w:after="62"/>
        <w:jc w:val="both"/>
        <w:textAlignment w:val="baseline"/>
        <w:rPr>
          <w:rFonts w:ascii="Arial" w:hAnsi="Arial" w:cs="Verdana"/>
          <w:bCs/>
          <w:sz w:val="19"/>
          <w:szCs w:val="19"/>
          <w:shd w:fill="auto" w:val="clear"/>
        </w:rPr>
      </w:pPr>
      <w:r>
        <w:rPr>
          <w:rFonts w:cs="Verdana" w:ascii="Arial" w:hAnsi="Arial"/>
          <w:bCs/>
          <w:sz w:val="19"/>
          <w:szCs w:val="19"/>
          <w:shd w:fill="auto" w:val="clear"/>
        </w:rPr>
      </w:r>
    </w:p>
    <w:p>
      <w:pPr>
        <w:pStyle w:val="Normal"/>
        <w:overflowPunct w:val="true"/>
        <w:spacing w:lineRule="auto" w:line="240" w:before="31" w:after="62"/>
        <w:jc w:val="both"/>
        <w:textAlignment w:val="baseline"/>
        <w:rPr>
          <w:rFonts w:ascii="Arial" w:hAnsi="Arial"/>
          <w:sz w:val="19"/>
          <w:szCs w:val="19"/>
          <w:shd w:fill="auto" w:val="clear"/>
        </w:rPr>
      </w:pPr>
      <w:r>
        <w:rPr>
          <w:rFonts w:cs="Verdana" w:ascii="Arial" w:hAnsi="Arial"/>
          <w:b/>
          <w:sz w:val="19"/>
          <w:szCs w:val="19"/>
          <w:shd w:fill="auto" w:val="clear"/>
        </w:rPr>
        <w:t xml:space="preserve">Objeto: </w:t>
      </w:r>
      <w:r>
        <w:rPr>
          <w:rFonts w:cs="Verdana" w:ascii="Arial" w:hAnsi="Arial"/>
          <w:b/>
          <w:bCs/>
          <w:color w:val="FF0000"/>
          <w:sz w:val="19"/>
          <w:szCs w:val="19"/>
          <w:shd w:fill="auto" w:val="clear"/>
        </w:rPr>
        <w:t>Aquisição de roçadeira hidráulica.</w:t>
      </w:r>
    </w:p>
    <w:p>
      <w:pPr>
        <w:pStyle w:val="Normal"/>
        <w:overflowPunct w:val="true"/>
        <w:spacing w:lineRule="auto" w:line="240" w:before="31" w:after="62"/>
        <w:jc w:val="both"/>
        <w:textAlignment w:val="baseline"/>
        <w:rPr>
          <w:rFonts w:ascii="Arial" w:hAnsi="Arial" w:cs="Verdana"/>
          <w:sz w:val="19"/>
          <w:szCs w:val="19"/>
          <w:shd w:fill="auto" w:val="clear"/>
        </w:rPr>
      </w:pPr>
      <w:r>
        <w:rPr>
          <w:rFonts w:cs="Verdana" w:ascii="Arial" w:hAnsi="Arial"/>
          <w:sz w:val="19"/>
          <w:szCs w:val="19"/>
          <w:shd w:fill="auto" w:val="clear"/>
        </w:rPr>
      </w:r>
    </w:p>
    <w:p>
      <w:pPr>
        <w:pStyle w:val="Normal"/>
        <w:overflowPunct w:val="true"/>
        <w:spacing w:lineRule="auto" w:line="240" w:before="31" w:after="62"/>
        <w:jc w:val="both"/>
        <w:textAlignment w:val="baseline"/>
        <w:rPr>
          <w:rFonts w:ascii="Arial" w:hAnsi="Arial"/>
          <w:sz w:val="19"/>
          <w:szCs w:val="19"/>
          <w:shd w:fill="auto" w:val="clear"/>
        </w:rPr>
      </w:pPr>
      <w:r>
        <w:rPr>
          <w:rFonts w:cs="Verdana" w:ascii="Arial" w:hAnsi="Arial"/>
          <w:b/>
          <w:bCs/>
          <w:sz w:val="19"/>
          <w:szCs w:val="19"/>
          <w:shd w:fill="auto" w:val="clear"/>
        </w:rPr>
        <w:t>DECLARAMOS</w:t>
      </w:r>
      <w:r>
        <w:rPr>
          <w:rFonts w:cs="Verdana" w:ascii="Arial" w:hAnsi="Arial"/>
          <w:sz w:val="19"/>
          <w:szCs w:val="19"/>
          <w:shd w:fill="auto" w:val="clear"/>
        </w:rPr>
        <w:t xml:space="preserve"> para os fins de direito que:</w:t>
      </w:r>
    </w:p>
    <w:p>
      <w:pPr>
        <w:pStyle w:val="Normal"/>
        <w:widowControl w:val="false"/>
        <w:numPr>
          <w:ilvl w:val="0"/>
          <w:numId w:val="11"/>
        </w:numPr>
        <w:overflowPunct w:val="true"/>
        <w:spacing w:lineRule="auto" w:line="240" w:before="31" w:after="62"/>
        <w:jc w:val="both"/>
        <w:textAlignment w:val="baseline"/>
        <w:rPr>
          <w:rFonts w:ascii="Arial" w:hAnsi="Arial"/>
          <w:sz w:val="19"/>
          <w:szCs w:val="19"/>
          <w:shd w:fill="auto" w:val="clear"/>
        </w:rPr>
      </w:pPr>
      <w:r>
        <w:rPr>
          <w:rFonts w:cs="Verdana" w:ascii="Arial" w:hAnsi="Arial"/>
          <w:b/>
          <w:bCs/>
          <w:i w:val="false"/>
          <w:caps w:val="false"/>
          <w:smallCaps w:val="false"/>
          <w:color w:val="000000"/>
          <w:spacing w:val="0"/>
          <w:sz w:val="19"/>
          <w:szCs w:val="19"/>
          <w:shd w:fill="auto" w:val="clear"/>
        </w:rPr>
        <w:t>Não</w:t>
      </w:r>
      <w:r>
        <w:rPr>
          <w:rFonts w:cs="Verdana" w:ascii="Arial" w:hAnsi="Arial"/>
          <w:b w:val="false"/>
          <w:bCs w:val="false"/>
          <w:i w:val="false"/>
          <w:caps w:val="false"/>
          <w:smallCaps w:val="false"/>
          <w:color w:val="000000"/>
          <w:spacing w:val="0"/>
          <w:sz w:val="19"/>
          <w:szCs w:val="19"/>
          <w:shd w:fill="auto" w:val="clear"/>
        </w:rPr>
        <w:t xml:space="preserve"> fomos declarados inidôneos para licitar ou contratar com o Poder Público, em qualquer de suas esferas e nem esta suspensa em nenhum Órgão Público Federal, Estadual ou Municipal, bem como inexiste fato superveniente impeditivo da habilitação.</w:t>
      </w:r>
    </w:p>
    <w:p>
      <w:pPr>
        <w:pStyle w:val="Normal"/>
        <w:widowControl w:val="false"/>
        <w:numPr>
          <w:ilvl w:val="0"/>
          <w:numId w:val="11"/>
        </w:numPr>
        <w:overflowPunct w:val="true"/>
        <w:spacing w:lineRule="auto" w:line="240" w:before="31" w:after="62"/>
        <w:jc w:val="both"/>
        <w:textAlignment w:val="baseline"/>
        <w:rPr>
          <w:rFonts w:ascii="Arial" w:hAnsi="Arial"/>
          <w:sz w:val="19"/>
          <w:szCs w:val="19"/>
          <w:shd w:fill="auto" w:val="clear"/>
        </w:rPr>
      </w:pPr>
      <w:r>
        <w:rPr>
          <w:rFonts w:cs="Verdana" w:ascii="Arial" w:hAnsi="Arial"/>
          <w:b/>
          <w:bCs/>
          <w:i w:val="false"/>
          <w:caps w:val="false"/>
          <w:smallCaps w:val="false"/>
          <w:color w:val="000000"/>
          <w:spacing w:val="0"/>
          <w:sz w:val="19"/>
          <w:szCs w:val="19"/>
          <w:shd w:fill="auto" w:val="clear"/>
        </w:rPr>
        <w:t>Atendemos</w:t>
      </w:r>
      <w:r>
        <w:rPr>
          <w:rFonts w:cs="Verdana" w:ascii="Arial" w:hAnsi="Arial"/>
          <w:b w:val="false"/>
          <w:bCs w:val="false"/>
          <w:i w:val="false"/>
          <w:caps w:val="false"/>
          <w:smallCaps w:val="false"/>
          <w:color w:val="000000"/>
          <w:spacing w:val="0"/>
          <w:sz w:val="19"/>
          <w:szCs w:val="19"/>
          <w:shd w:fill="auto" w:val="clear"/>
        </w:rPr>
        <w:t xml:space="preserve"> plenamente aos requisitos de habilitação e cientes que responderemos pela veracidade das informações prestadas, na forma da lei.</w:t>
      </w:r>
    </w:p>
    <w:p>
      <w:pPr>
        <w:pStyle w:val="Normal"/>
        <w:widowControl w:val="false"/>
        <w:numPr>
          <w:ilvl w:val="0"/>
          <w:numId w:val="11"/>
        </w:numPr>
        <w:overflowPunct w:val="true"/>
        <w:spacing w:lineRule="auto" w:line="240" w:before="31" w:after="62"/>
        <w:jc w:val="both"/>
        <w:textAlignment w:val="baseline"/>
        <w:rPr>
          <w:rFonts w:ascii="Arial" w:hAnsi="Arial"/>
          <w:sz w:val="19"/>
          <w:szCs w:val="19"/>
          <w:shd w:fill="auto" w:val="clear"/>
        </w:rPr>
      </w:pPr>
      <w:r>
        <w:rPr>
          <w:rFonts w:cs="Verdana" w:ascii="Arial" w:hAnsi="Arial"/>
          <w:b/>
          <w:bCs/>
          <w:sz w:val="19"/>
          <w:szCs w:val="19"/>
          <w:shd w:fill="auto" w:val="clear"/>
        </w:rPr>
        <w:t>Cumprimos</w:t>
      </w:r>
      <w:r>
        <w:rPr>
          <w:rFonts w:cs="Verdana" w:ascii="Arial" w:hAnsi="Arial"/>
          <w:b w:val="false"/>
          <w:bCs w:val="false"/>
          <w:sz w:val="19"/>
          <w:szCs w:val="19"/>
          <w:shd w:fill="auto" w:val="clear"/>
        </w:rPr>
        <w:t xml:space="preserve"> com as </w:t>
      </w:r>
      <w:r>
        <w:rPr>
          <w:rFonts w:cs="Verdana" w:ascii="Arial" w:hAnsi="Arial"/>
          <w:b w:val="false"/>
          <w:bCs w:val="false"/>
          <w:i w:val="false"/>
          <w:caps w:val="false"/>
          <w:smallCaps w:val="false"/>
          <w:color w:val="000000"/>
          <w:spacing w:val="0"/>
          <w:sz w:val="19"/>
          <w:szCs w:val="19"/>
          <w:shd w:fill="auto" w:val="clear"/>
        </w:rPr>
        <w:t>exigências de reserva de cargos para pessoa com deficiência e para reabilitado da Previdência Social, previstas em lei e em outras normas específicas;</w:t>
      </w:r>
    </w:p>
    <w:p>
      <w:pPr>
        <w:pStyle w:val="Normal"/>
        <w:widowControl w:val="false"/>
        <w:numPr>
          <w:ilvl w:val="0"/>
          <w:numId w:val="11"/>
        </w:numPr>
        <w:overflowPunct w:val="true"/>
        <w:spacing w:lineRule="auto" w:line="240" w:before="31" w:after="62"/>
        <w:jc w:val="both"/>
        <w:textAlignment w:val="baseline"/>
        <w:rPr>
          <w:rFonts w:ascii="Arial" w:hAnsi="Arial" w:cs="Verdana"/>
          <w:b w:val="false"/>
          <w:b w:val="false"/>
          <w:bCs w:val="false"/>
          <w:sz w:val="19"/>
          <w:szCs w:val="19"/>
          <w:shd w:fill="auto" w:val="clear"/>
        </w:rPr>
      </w:pPr>
      <w:r>
        <w:rPr>
          <w:rFonts w:cs="Verdana" w:ascii="Arial" w:hAnsi="Arial"/>
          <w:b/>
          <w:bCs/>
          <w:i w:val="false"/>
          <w:caps w:val="false"/>
          <w:smallCaps w:val="false"/>
          <w:color w:val="000000"/>
          <w:spacing w:val="0"/>
          <w:sz w:val="19"/>
          <w:szCs w:val="19"/>
          <w:shd w:fill="auto" w:val="clear"/>
        </w:rPr>
        <w:t>Cumprimos</w:t>
      </w:r>
      <w:r>
        <w:rPr>
          <w:rFonts w:cs="Verdana" w:ascii="Arial" w:hAnsi="Arial"/>
          <w:b w:val="false"/>
          <w:bCs w:val="false"/>
          <w:i w:val="false"/>
          <w:caps w:val="false"/>
          <w:smallCaps w:val="false"/>
          <w:color w:val="000000"/>
          <w:spacing w:val="0"/>
          <w:sz w:val="19"/>
          <w:szCs w:val="19"/>
          <w:shd w:fill="auto" w:val="clear"/>
        </w:rPr>
        <w:t xml:space="preserve"> com o disposto no inciso XXXIII do art. 7º da Constituição Federal, que a empresa não possui menores de dezoito anos em condições de trabalho noturno, perigoso ou insalubre a e de qualquer trabalho a menores de dezesseis anos, salvo na condição de aprendiz, a partir de quatorze anos, de acordo com o inciso VI do art. 68 da Lei Federal nº 14.133/2021.</w:t>
      </w:r>
    </w:p>
    <w:p>
      <w:pPr>
        <w:pStyle w:val="Normal"/>
        <w:widowControl w:val="false"/>
        <w:numPr>
          <w:ilvl w:val="0"/>
          <w:numId w:val="11"/>
        </w:numPr>
        <w:overflowPunct w:val="true"/>
        <w:spacing w:lineRule="auto" w:line="240" w:before="31" w:after="62"/>
        <w:jc w:val="both"/>
        <w:textAlignment w:val="baseline"/>
        <w:rPr>
          <w:rFonts w:ascii="Arial" w:hAnsi="Arial" w:cs="Verdana"/>
          <w:b w:val="false"/>
          <w:b w:val="false"/>
          <w:bCs w:val="false"/>
          <w:sz w:val="19"/>
          <w:szCs w:val="19"/>
          <w:shd w:fill="auto" w:val="clear"/>
        </w:rPr>
      </w:pPr>
      <w:r>
        <w:rPr>
          <w:rFonts w:cs="Verdana" w:ascii="Arial" w:hAnsi="Arial"/>
          <w:b w:val="false"/>
          <w:bCs w:val="false"/>
          <w:i w:val="false"/>
          <w:caps w:val="false"/>
          <w:smallCaps w:val="false"/>
          <w:color w:val="000000"/>
          <w:spacing w:val="0"/>
          <w:sz w:val="19"/>
          <w:szCs w:val="19"/>
          <w:shd w:fill="auto" w:val="clear"/>
        </w:rPr>
        <w:t>Os valores apresentados na proposta compreendem a integralidade dos custos para atendimento dos direitos trabalhistas assegurados na Constituição Federal, nas leis trabalhistas, nas normas infralegais, nas convenções coletivas de trabalho e nos termos de ajustamento de condutas vigentes na data da entrega da proposta.</w:t>
      </w:r>
    </w:p>
    <w:p>
      <w:pPr>
        <w:pStyle w:val="Normal"/>
        <w:numPr>
          <w:ilvl w:val="0"/>
          <w:numId w:val="11"/>
        </w:numPr>
        <w:suppressAutoHyphens w:val="true"/>
        <w:jc w:val="both"/>
        <w:rPr>
          <w:rFonts w:ascii="Arial" w:hAnsi="Arial"/>
          <w:sz w:val="19"/>
          <w:szCs w:val="19"/>
          <w:shd w:fill="auto" w:val="clear"/>
        </w:rPr>
      </w:pPr>
      <w:r>
        <w:rPr>
          <w:rFonts w:cs="Arial" w:ascii="Arial" w:hAnsi="Arial"/>
          <w:i w:val="false"/>
          <w:caps w:val="false"/>
          <w:smallCaps w:val="false"/>
          <w:color w:val="000000"/>
          <w:spacing w:val="0"/>
          <w:sz w:val="19"/>
          <w:szCs w:val="19"/>
          <w:shd w:fill="auto" w:val="clear"/>
          <w:lang w:eastAsia="ar-SA"/>
        </w:rPr>
        <w:t xml:space="preserve">Sob as penas da lei e sanções administrativas cabíveis, nos termos da legislação vigente, </w:t>
      </w:r>
      <w:r>
        <w:rPr>
          <w:rFonts w:cs="Arial" w:ascii="Arial" w:hAnsi="Arial"/>
          <w:b/>
          <w:bCs/>
          <w:i w:val="false"/>
          <w:caps w:val="false"/>
          <w:smallCaps w:val="false"/>
          <w:color w:val="000000"/>
          <w:spacing w:val="0"/>
          <w:sz w:val="19"/>
          <w:szCs w:val="19"/>
          <w:shd w:fill="auto" w:val="clear"/>
          <w:lang w:eastAsia="ar-SA"/>
        </w:rPr>
        <w:t>não possuímos nenhum dos impedimentos</w:t>
      </w:r>
      <w:r>
        <w:rPr>
          <w:rFonts w:cs="Arial" w:ascii="Arial" w:hAnsi="Arial"/>
          <w:i w:val="false"/>
          <w:caps w:val="false"/>
          <w:smallCaps w:val="false"/>
          <w:color w:val="000000"/>
          <w:spacing w:val="0"/>
          <w:sz w:val="19"/>
          <w:szCs w:val="19"/>
          <w:shd w:fill="auto" w:val="clear"/>
          <w:lang w:eastAsia="ar-SA"/>
        </w:rPr>
        <w:t xml:space="preserve"> previstos no parágrafo 4º do artigo 3º da Lei Complementar nº 123/2006, sendo a empresa </w:t>
      </w:r>
      <w:r>
        <w:rPr>
          <w:rFonts w:cs="Arial" w:ascii="Arial" w:hAnsi="Arial"/>
          <w:b/>
          <w:bCs/>
          <w:i w:val="false"/>
          <w:caps w:val="false"/>
          <w:smallCaps w:val="false"/>
          <w:color w:val="000000"/>
          <w:spacing w:val="0"/>
          <w:sz w:val="19"/>
          <w:szCs w:val="19"/>
          <w:shd w:fill="auto" w:val="clear"/>
          <w:lang w:eastAsia="ar-SA"/>
        </w:rPr>
        <w:t>enquadrada</w:t>
      </w:r>
      <w:r>
        <w:rPr>
          <w:rFonts w:cs="Arial" w:ascii="Arial" w:hAnsi="Arial"/>
          <w:i w:val="false"/>
          <w:caps w:val="false"/>
          <w:smallCaps w:val="false"/>
          <w:color w:val="000000"/>
          <w:spacing w:val="0"/>
          <w:sz w:val="19"/>
          <w:szCs w:val="19"/>
          <w:shd w:fill="auto" w:val="clear"/>
          <w:lang w:eastAsia="ar-SA"/>
        </w:rPr>
        <w:t xml:space="preserve"> como:</w:t>
      </w:r>
    </w:p>
    <w:tbl>
      <w:tblPr>
        <w:tblW w:w="5213" w:type="dxa"/>
        <w:jc w:val="left"/>
        <w:tblInd w:w="1074" w:type="dxa"/>
        <w:tblLayout w:type="fixed"/>
        <w:tblCellMar>
          <w:top w:w="55" w:type="dxa"/>
          <w:left w:w="55" w:type="dxa"/>
          <w:bottom w:w="55" w:type="dxa"/>
          <w:right w:w="55" w:type="dxa"/>
        </w:tblCellMar>
      </w:tblPr>
      <w:tblGrid>
        <w:gridCol w:w="448"/>
        <w:gridCol w:w="4764"/>
      </w:tblGrid>
      <w:tr>
        <w:trPr/>
        <w:tc>
          <w:tcPr>
            <w:tcW w:w="448" w:type="dxa"/>
            <w:tcBorders/>
          </w:tcPr>
          <w:p>
            <w:pPr>
              <w:pStyle w:val="Contedodatabela"/>
              <w:widowControl w:val="false"/>
              <w:spacing w:before="0" w:after="0"/>
              <w:jc w:val="center"/>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  )</w:t>
            </w:r>
          </w:p>
        </w:tc>
        <w:tc>
          <w:tcPr>
            <w:tcW w:w="4764" w:type="dxa"/>
            <w:tcBorders/>
          </w:tcPr>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Microempresa.</w:t>
            </w:r>
          </w:p>
        </w:tc>
      </w:tr>
      <w:tr>
        <w:trPr/>
        <w:tc>
          <w:tcPr>
            <w:tcW w:w="448" w:type="dxa"/>
            <w:tcBorders/>
          </w:tcPr>
          <w:p>
            <w:pPr>
              <w:pStyle w:val="Contedodatabela"/>
              <w:widowControl w:val="false"/>
              <w:spacing w:before="0" w:after="0"/>
              <w:jc w:val="center"/>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  )</w:t>
            </w:r>
          </w:p>
        </w:tc>
        <w:tc>
          <w:tcPr>
            <w:tcW w:w="4764" w:type="dxa"/>
            <w:tcBorders/>
          </w:tcPr>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Empresa de pequeno porte.</w:t>
            </w:r>
          </w:p>
        </w:tc>
      </w:tr>
      <w:tr>
        <w:trPr/>
        <w:tc>
          <w:tcPr>
            <w:tcW w:w="448" w:type="dxa"/>
            <w:tcBorders/>
          </w:tcPr>
          <w:p>
            <w:pPr>
              <w:pStyle w:val="Contedodatabela"/>
              <w:widowControl w:val="false"/>
              <w:spacing w:before="0" w:after="0"/>
              <w:jc w:val="center"/>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  )</w:t>
            </w:r>
          </w:p>
        </w:tc>
        <w:tc>
          <w:tcPr>
            <w:tcW w:w="4764" w:type="dxa"/>
            <w:tcBorders/>
          </w:tcPr>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Empresa de grande porte.</w:t>
            </w:r>
          </w:p>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r>
          </w:p>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Obs.:</w:t>
            </w:r>
          </w:p>
        </w:tc>
      </w:tr>
    </w:tbl>
    <w:p>
      <w:pPr>
        <w:pStyle w:val="Corpodotexto"/>
        <w:spacing w:lineRule="auto" w:line="240" w:before="31" w:after="62"/>
        <w:ind w:left="1134" w:right="0" w:hanging="0"/>
        <w:jc w:val="both"/>
        <w:rPr>
          <w:rFonts w:ascii="Arial" w:hAnsi="Arial" w:cs="Verdana"/>
          <w:sz w:val="19"/>
          <w:szCs w:val="19"/>
          <w:shd w:fill="auto" w:val="clear"/>
        </w:rPr>
      </w:pPr>
      <w:r>
        <w:rPr>
          <w:rFonts w:cs="Verdana"/>
          <w:sz w:val="19"/>
          <w:szCs w:val="19"/>
          <w:shd w:fill="auto" w:val="clear"/>
        </w:rPr>
      </w:r>
    </w:p>
    <w:p>
      <w:pPr>
        <w:pStyle w:val="Corpodotexto"/>
        <w:numPr>
          <w:ilvl w:val="0"/>
          <w:numId w:val="0"/>
        </w:numPr>
        <w:spacing w:lineRule="auto" w:line="240" w:before="31" w:after="62"/>
        <w:ind w:left="720" w:hanging="0"/>
        <w:rPr>
          <w:rFonts w:ascii="Arial" w:hAnsi="Arial" w:cs="Verdana"/>
          <w:b w:val="false"/>
          <w:b w:val="false"/>
          <w:bCs w:val="false"/>
          <w:i w:val="false"/>
          <w:i w:val="false"/>
          <w:caps w:val="false"/>
          <w:smallCaps w:val="false"/>
          <w:color w:val="000000"/>
          <w:spacing w:val="0"/>
          <w:sz w:val="19"/>
          <w:szCs w:val="19"/>
          <w:shd w:fill="auto" w:val="clear"/>
        </w:rPr>
      </w:pPr>
      <w:r>
        <w:rPr>
          <w:rFonts w:cs="Verdana"/>
          <w:b w:val="false"/>
          <w:bCs w:val="false"/>
          <w:i w:val="false"/>
          <w:caps w:val="false"/>
          <w:smallCaps w:val="false"/>
          <w:color w:val="000000"/>
          <w:spacing w:val="0"/>
          <w:sz w:val="19"/>
          <w:szCs w:val="19"/>
          <w:shd w:fill="auto" w:val="clear"/>
        </w:rPr>
        <w:t>Por ser expressão da verdade, firmamos a presente.</w:t>
      </w:r>
    </w:p>
    <w:p>
      <w:pPr>
        <w:pStyle w:val="Normal"/>
        <w:overflowPunct w:val="true"/>
        <w:spacing w:lineRule="auto" w:line="240" w:before="31" w:after="62"/>
        <w:jc w:val="both"/>
        <w:textAlignment w:val="baseline"/>
        <w:rPr>
          <w:rFonts w:ascii="Arial" w:hAnsi="Arial" w:cs="Verdana"/>
          <w:b w:val="false"/>
          <w:b w:val="false"/>
          <w:bCs w:val="false"/>
          <w:sz w:val="19"/>
          <w:szCs w:val="19"/>
          <w:shd w:fill="auto" w:val="clear"/>
        </w:rPr>
      </w:pPr>
      <w:r>
        <w:rPr>
          <w:rFonts w:cs="Verdana" w:ascii="Arial" w:hAnsi="Arial"/>
          <w:b w:val="false"/>
          <w:bCs w:val="false"/>
          <w:sz w:val="19"/>
          <w:szCs w:val="19"/>
          <w:shd w:fill="auto" w:val="clear"/>
        </w:rPr>
      </w:r>
    </w:p>
    <w:p>
      <w:pPr>
        <w:pStyle w:val="Normal"/>
        <w:widowControl w:val="false"/>
        <w:numPr>
          <w:ilvl w:val="0"/>
          <w:numId w:val="0"/>
        </w:numPr>
        <w:overflowPunct w:val="true"/>
        <w:spacing w:lineRule="auto" w:line="240" w:before="31" w:after="62"/>
        <w:ind w:left="720" w:hanging="0"/>
        <w:jc w:val="both"/>
        <w:textAlignment w:val="baseline"/>
        <w:rPr>
          <w:rFonts w:ascii="Arial" w:hAnsi="Arial" w:cs="Verdana"/>
          <w:b w:val="false"/>
          <w:b w:val="false"/>
          <w:bCs w:val="false"/>
          <w:i w:val="false"/>
          <w:i w:val="false"/>
          <w:caps w:val="false"/>
          <w:smallCaps w:val="false"/>
          <w:color w:val="000000"/>
          <w:spacing w:val="0"/>
          <w:sz w:val="19"/>
          <w:szCs w:val="19"/>
          <w:shd w:fill="auto" w:val="clear"/>
        </w:rPr>
      </w:pPr>
      <w:r>
        <w:rPr>
          <w:rFonts w:cs="Verdana" w:ascii="Arial" w:hAnsi="Arial"/>
          <w:b w:val="false"/>
          <w:bCs w:val="false"/>
          <w:i w:val="false"/>
          <w:caps w:val="false"/>
          <w:smallCaps w:val="false"/>
          <w:color w:val="000000"/>
          <w:spacing w:val="0"/>
          <w:sz w:val="19"/>
          <w:szCs w:val="19"/>
          <w:shd w:fill="auto" w:val="clear"/>
        </w:rPr>
      </w:r>
    </w:p>
    <w:p>
      <w:pPr>
        <w:pStyle w:val="Normal"/>
        <w:widowControl w:val="false"/>
        <w:numPr>
          <w:ilvl w:val="0"/>
          <w:numId w:val="0"/>
        </w:numPr>
        <w:overflowPunct w:val="true"/>
        <w:spacing w:lineRule="auto" w:line="240" w:before="31" w:after="62"/>
        <w:ind w:left="720" w:hanging="0"/>
        <w:jc w:val="both"/>
        <w:textAlignment w:val="baseline"/>
        <w:rPr>
          <w:rFonts w:ascii="Arial" w:hAnsi="Arial" w:cs="Verdana"/>
          <w:b w:val="false"/>
          <w:b w:val="false"/>
          <w:bCs w:val="false"/>
          <w:i w:val="false"/>
          <w:i w:val="false"/>
          <w:caps w:val="false"/>
          <w:smallCaps w:val="false"/>
          <w:color w:val="000000"/>
          <w:spacing w:val="0"/>
          <w:sz w:val="19"/>
          <w:szCs w:val="19"/>
          <w:shd w:fill="auto" w:val="clear"/>
        </w:rPr>
      </w:pPr>
      <w:r>
        <w:rPr>
          <w:rFonts w:cs="Verdana" w:ascii="Arial" w:hAnsi="Arial"/>
          <w:b w:val="false"/>
          <w:bCs w:val="false"/>
          <w:i w:val="false"/>
          <w:caps w:val="false"/>
          <w:smallCaps w:val="false"/>
          <w:color w:val="000000"/>
          <w:spacing w:val="0"/>
          <w:sz w:val="19"/>
          <w:szCs w:val="19"/>
          <w:shd w:fill="auto" w:val="clear"/>
        </w:rPr>
      </w:r>
    </w:p>
    <w:p>
      <w:pPr>
        <w:pStyle w:val="Corpodotexto"/>
        <w:spacing w:lineRule="auto" w:line="240" w:before="31" w:after="62"/>
        <w:rPr>
          <w:rFonts w:ascii="Arial" w:hAnsi="Arial"/>
          <w:sz w:val="19"/>
          <w:szCs w:val="19"/>
          <w:shd w:fill="auto" w:val="clear"/>
        </w:rPr>
      </w:pPr>
      <w:r>
        <w:rPr>
          <w:sz w:val="19"/>
          <w:szCs w:val="19"/>
          <w:shd w:fill="auto" w:val="clear"/>
        </w:rPr>
      </w:r>
    </w:p>
    <w:p>
      <w:pPr>
        <w:pStyle w:val="Corpodotexto"/>
        <w:spacing w:lineRule="auto" w:line="240" w:before="31" w:after="62"/>
        <w:rPr>
          <w:rFonts w:ascii="Arial" w:hAnsi="Arial"/>
          <w:sz w:val="19"/>
          <w:szCs w:val="19"/>
          <w:shd w:fill="auto" w:val="clear"/>
        </w:rPr>
      </w:pPr>
      <w:r>
        <w:rPr>
          <w:sz w:val="19"/>
          <w:szCs w:val="19"/>
          <w:shd w:fill="auto" w:val="clear"/>
        </w:rPr>
      </w:r>
    </w:p>
    <w:tbl>
      <w:tblPr>
        <w:tblW w:w="3040" w:type="dxa"/>
        <w:jc w:val="left"/>
        <w:tblInd w:w="3311" w:type="dxa"/>
        <w:tblLayout w:type="fixed"/>
        <w:tblCellMar>
          <w:top w:w="55" w:type="dxa"/>
          <w:left w:w="55" w:type="dxa"/>
          <w:bottom w:w="55" w:type="dxa"/>
          <w:right w:w="55" w:type="dxa"/>
        </w:tblCellMar>
      </w:tblPr>
      <w:tblGrid>
        <w:gridCol w:w="3040"/>
      </w:tblGrid>
      <w:tr>
        <w:trPr/>
        <w:tc>
          <w:tcPr>
            <w:tcW w:w="3040" w:type="dxa"/>
            <w:tcBorders>
              <w:top w:val="single" w:sz="4" w:space="0" w:color="000000"/>
            </w:tcBorders>
          </w:tcPr>
          <w:p>
            <w:pPr>
              <w:pStyle w:val="Normal"/>
              <w:keepNext w:val="false"/>
              <w:widowControl w:val="false"/>
              <w:overflowPunct w:val="true"/>
              <w:bidi w:val="0"/>
              <w:spacing w:lineRule="auto" w:line="276" w:before="0" w:after="0"/>
              <w:ind w:left="0" w:right="57" w:hanging="0"/>
              <w:jc w:val="left"/>
              <w:textAlignment w:val="baseline"/>
              <w:rPr>
                <w:rFonts w:ascii="Arial" w:hAnsi="Arial"/>
                <w:b/>
                <w:b/>
                <w:bCs/>
                <w:sz w:val="19"/>
                <w:szCs w:val="19"/>
                <w:shd w:fill="auto" w:val="clear"/>
              </w:rPr>
            </w:pPr>
            <w:r>
              <w:rPr>
                <w:rFonts w:ascii="Arial" w:hAnsi="Arial"/>
                <w:b/>
                <w:bCs/>
                <w:sz w:val="19"/>
                <w:szCs w:val="19"/>
                <w:shd w:fill="auto" w:val="clear"/>
              </w:rPr>
              <w:t>Representante Legal</w:t>
            </w:r>
          </w:p>
          <w:p>
            <w:pPr>
              <w:pStyle w:val="Normal"/>
              <w:keepNext w:val="false"/>
              <w:widowControl w:val="false"/>
              <w:overflowPunct w:val="true"/>
              <w:bidi w:val="0"/>
              <w:spacing w:lineRule="auto" w:line="276" w:before="0" w:after="0"/>
              <w:ind w:left="0" w:right="57" w:hanging="0"/>
              <w:jc w:val="left"/>
              <w:textAlignment w:val="baseline"/>
              <w:rPr>
                <w:rFonts w:ascii="Arial" w:hAnsi="Arial"/>
                <w:bCs/>
                <w:sz w:val="19"/>
                <w:szCs w:val="19"/>
                <w:shd w:fill="auto" w:val="clear"/>
              </w:rPr>
            </w:pPr>
            <w:r>
              <w:rPr>
                <w:rFonts w:ascii="Arial" w:hAnsi="Arial"/>
                <w:bCs/>
                <w:sz w:val="19"/>
                <w:szCs w:val="19"/>
                <w:shd w:fill="auto" w:val="clear"/>
              </w:rPr>
              <w:t>Nome:</w:t>
            </w:r>
          </w:p>
          <w:p>
            <w:pPr>
              <w:pStyle w:val="Normal"/>
              <w:keepNext w:val="false"/>
              <w:widowControl w:val="false"/>
              <w:overflowPunct w:val="true"/>
              <w:bidi w:val="0"/>
              <w:spacing w:lineRule="auto" w:line="276" w:before="0" w:after="0"/>
              <w:ind w:left="0" w:right="57" w:hanging="0"/>
              <w:jc w:val="left"/>
              <w:textAlignment w:val="baseline"/>
              <w:rPr>
                <w:rFonts w:ascii="Arial" w:hAnsi="Arial"/>
                <w:bCs/>
                <w:sz w:val="19"/>
                <w:szCs w:val="19"/>
                <w:shd w:fill="auto" w:val="clear"/>
              </w:rPr>
            </w:pPr>
            <w:r>
              <w:rPr>
                <w:rFonts w:ascii="Arial" w:hAnsi="Arial"/>
                <w:bCs/>
                <w:sz w:val="19"/>
                <w:szCs w:val="19"/>
                <w:shd w:fill="auto" w:val="clear"/>
              </w:rPr>
              <w:t>RG:</w:t>
            </w:r>
          </w:p>
          <w:p>
            <w:pPr>
              <w:pStyle w:val="Normal"/>
              <w:keepNext w:val="false"/>
              <w:widowControl w:val="false"/>
              <w:overflowPunct w:val="true"/>
              <w:bidi w:val="0"/>
              <w:spacing w:lineRule="auto" w:line="276" w:before="0" w:after="0"/>
              <w:ind w:left="0" w:right="57" w:hanging="0"/>
              <w:jc w:val="left"/>
              <w:textAlignment w:val="baseline"/>
              <w:rPr>
                <w:rFonts w:ascii="Arial" w:hAnsi="Arial"/>
                <w:bCs/>
                <w:sz w:val="19"/>
                <w:szCs w:val="19"/>
                <w:shd w:fill="auto" w:val="clear"/>
              </w:rPr>
            </w:pPr>
            <w:r>
              <w:rPr>
                <w:rFonts w:ascii="Arial" w:hAnsi="Arial"/>
                <w:bCs/>
                <w:sz w:val="19"/>
                <w:szCs w:val="19"/>
                <w:shd w:fill="auto" w:val="clear"/>
              </w:rPr>
              <w:t>CPF:</w:t>
            </w:r>
          </w:p>
        </w:tc>
      </w:tr>
    </w:tbl>
    <w:p>
      <w:pPr>
        <w:pStyle w:val="Corpodotexto"/>
        <w:spacing w:lineRule="auto" w:line="240" w:before="31" w:after="62"/>
        <w:rPr>
          <w:rFonts w:ascii="Arial" w:hAnsi="Arial"/>
          <w:sz w:val="19"/>
          <w:szCs w:val="19"/>
          <w:shd w:fill="auto" w:val="clear"/>
        </w:rPr>
      </w:pPr>
      <w:r>
        <w:rPr>
          <w:sz w:val="19"/>
          <w:szCs w:val="19"/>
          <w:shd w:fill="auto" w:val="clear"/>
        </w:rPr>
      </w:r>
    </w:p>
    <w:p>
      <w:pPr>
        <w:pStyle w:val="Corpodotexto"/>
        <w:numPr>
          <w:ilvl w:val="1"/>
          <w:numId w:val="2"/>
        </w:numPr>
        <w:rPr>
          <w:color w:val="000000"/>
        </w:rPr>
      </w:pPr>
      <w:r>
        <w:rPr>
          <w:color w:val="000000"/>
        </w:rPr>
      </w:r>
    </w:p>
    <w:p>
      <w:pPr>
        <w:pStyle w:val="Corpodotexto"/>
        <w:numPr>
          <w:ilvl w:val="2"/>
          <w:numId w:val="2"/>
        </w:numPr>
        <w:spacing w:before="0" w:after="140"/>
        <w:rPr>
          <w:color w:val="000000"/>
        </w:rPr>
      </w:pPr>
      <w:r>
        <w:rPr/>
      </w:r>
    </w:p>
    <w:sectPr>
      <w:headerReference w:type="default" r:id="rId7"/>
      <w:footerReference w:type="default" r:id="rId8"/>
      <w:type w:val="nextPage"/>
      <w:pgSz w:w="11906" w:h="16838"/>
      <w:pgMar w:left="1134" w:right="1134" w:header="488" w:top="1837" w:footer="838" w:bottom="1458" w:gutter="0"/>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Unicode MS">
    <w:charset w:val="00"/>
    <w:family w:val="roman"/>
    <w:pitch w:val="variable"/>
  </w:font>
  <w:font w:name="Arial">
    <w:altName w:val="sans-serif"/>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right"/>
      <w:rPr>
        <w:rFonts w:ascii="Arial" w:hAnsi="Arial"/>
        <w:sz w:val="18"/>
        <w:szCs w:val="18"/>
      </w:rPr>
    </w:pPr>
    <w:r>
      <w:rPr>
        <w:rFonts w:ascii="Arial" w:hAnsi="Arial"/>
        <w:sz w:val="18"/>
        <w:szCs w:val="18"/>
      </w:rPr>
      <w:fldChar w:fldCharType="begin"/>
    </w:r>
    <w:r>
      <w:rPr>
        <w:sz w:val="18"/>
        <w:szCs w:val="18"/>
        <w:rFonts w:ascii="Arial" w:hAnsi="Arial"/>
      </w:rPr>
      <w:instrText> PAGE </w:instrText>
    </w:r>
    <w:r>
      <w:rPr>
        <w:sz w:val="18"/>
        <w:szCs w:val="18"/>
        <w:rFonts w:ascii="Arial" w:hAnsi="Arial"/>
      </w:rPr>
      <w:fldChar w:fldCharType="separate"/>
    </w:r>
    <w:r>
      <w:rPr>
        <w:sz w:val="18"/>
        <w:szCs w:val="18"/>
        <w:rFonts w:ascii="Arial" w:hAnsi="Arial"/>
      </w:rPr>
      <w:t>25</w:t>
    </w:r>
    <w:r>
      <w:rPr>
        <w:sz w:val="18"/>
        <w:szCs w:val="18"/>
        <w:rFonts w:ascii="Arial" w:hAnsi="Arial"/>
      </w:rPr>
      <w:fldChar w:fldCharType="end"/>
    </w:r>
  </w:p>
  <w:p>
    <w:pPr>
      <w:pStyle w:val="Rodap"/>
      <w:jc w:val="left"/>
      <w:rPr>
        <w:rFonts w:ascii="Arial" w:hAnsi="Arial"/>
        <w:i/>
        <w:i/>
        <w:iCs/>
        <w:sz w:val="18"/>
        <w:szCs w:val="18"/>
        <w:u w:val="none"/>
      </w:rPr>
    </w:pPr>
    <w:r>
      <w:rPr>
        <w:rFonts w:ascii="Arial" w:hAnsi="Arial"/>
        <w:i/>
        <w:iCs/>
        <w:sz w:val="18"/>
        <w:szCs w:val="18"/>
        <w:u w:val="none"/>
      </w:rPr>
      <w:t>HKA</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jc w:val="center"/>
      <w:rPr>
        <w:rFonts w:ascii="Arial" w:hAnsi="Arial" w:cs="Verdana"/>
        <w:b/>
        <w:b/>
        <w:color w:val="C9211E"/>
        <w:sz w:val="18"/>
        <w:szCs w:val="18"/>
        <w:shd w:fill="auto" w:val="clear"/>
      </w:rPr>
    </w:pPr>
    <w:r>
      <w:drawing>
        <wp:anchor behindDoc="1" distT="0" distB="0" distL="0" distR="0" simplePos="0" locked="0" layoutInCell="0" allowOverlap="1" relativeHeight="26">
          <wp:simplePos x="0" y="0"/>
          <wp:positionH relativeFrom="column">
            <wp:posOffset>150495</wp:posOffset>
          </wp:positionH>
          <wp:positionV relativeFrom="paragraph">
            <wp:posOffset>-52705</wp:posOffset>
          </wp:positionV>
          <wp:extent cx="614680" cy="6477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14680" cy="647700"/>
                  </a:xfrm>
                  <a:prstGeom prst="rect">
                    <a:avLst/>
                  </a:prstGeom>
                </pic:spPr>
              </pic:pic>
            </a:graphicData>
          </a:graphic>
        </wp:anchor>
      </w:drawing>
    </w:r>
    <w:r>
      <w:rPr>
        <w:rFonts w:cs="Verdana" w:ascii="Arial" w:hAnsi="Arial"/>
        <w:b/>
        <w:color w:val="C9211E"/>
        <w:sz w:val="18"/>
        <w:szCs w:val="18"/>
        <w:shd w:fill="auto" w:val="clear"/>
      </w:rPr>
      <w:t>PREFEITURA DO MUNICÍPIO DE CIANORTE – ESTADO DO PARANÁ</w:t>
    </w:r>
  </w:p>
  <w:p>
    <w:pPr>
      <w:pStyle w:val="Normal"/>
      <w:spacing w:lineRule="auto" w:line="240" w:before="0" w:after="0"/>
      <w:jc w:val="center"/>
      <w:rPr>
        <w:rFonts w:ascii="Arial" w:hAnsi="Arial" w:cs="Verdana"/>
        <w:b/>
        <w:b/>
        <w:color w:val="C9211E"/>
        <w:sz w:val="18"/>
        <w:szCs w:val="18"/>
        <w:shd w:fill="auto" w:val="clear"/>
      </w:rPr>
    </w:pPr>
    <w:r>
      <w:rPr>
        <w:rFonts w:cs="Verdana" w:ascii="Arial" w:hAnsi="Arial"/>
        <w:b/>
        <w:color w:val="C9211E"/>
        <w:sz w:val="18"/>
        <w:szCs w:val="18"/>
        <w:shd w:fill="auto" w:val="clear"/>
      </w:rPr>
      <w:t>SECRETARIA MUNICIPAL DE ADMINISTRAÇÃO – DIVISÃO DE LICITAÇÕES</w:t>
    </w:r>
  </w:p>
  <w:p>
    <w:pPr>
      <w:pStyle w:val="Ttulo"/>
      <w:spacing w:lineRule="auto" w:line="240" w:before="0" w:after="0"/>
      <w:jc w:val="center"/>
      <w:rPr/>
    </w:pPr>
    <w:r>
      <w:rPr>
        <w:rFonts w:eastAsia="Verdana" w:cs="Verdana" w:ascii="Arial" w:hAnsi="Arial"/>
        <w:b/>
        <w:color w:val="C9211E"/>
        <w:sz w:val="18"/>
        <w:szCs w:val="18"/>
        <w:shd w:fill="auto" w:val="clear"/>
      </w:rPr>
      <w:t xml:space="preserve"> </w:t>
    </w:r>
    <w:r>
      <w:rPr>
        <w:rFonts w:eastAsia="Verdana" w:cs="Verdana" w:ascii="Arial" w:hAnsi="Arial"/>
        <w:b/>
        <w:color w:val="C9211E"/>
        <w:sz w:val="18"/>
        <w:szCs w:val="18"/>
        <w:shd w:fill="auto" w:val="clear"/>
      </w:rPr>
      <w:tab/>
    </w:r>
    <w:r>
      <w:rPr>
        <w:rFonts w:cs="Verdana" w:ascii="Arial" w:hAnsi="Arial"/>
        <w:b/>
        <w:color w:val="C9211E"/>
        <w:sz w:val="18"/>
        <w:szCs w:val="18"/>
        <w:shd w:fill="auto" w:val="clear"/>
      </w:rPr>
      <w:t xml:space="preserve">Fones: (44) 3619-6332/6207/6208/6209 </w:t>
    </w:r>
    <w:r>
      <w:rPr>
        <w:rFonts w:eastAsia="MS Mincho;ＭＳ 明朝" w:cs="Verdana" w:ascii="Arial" w:hAnsi="Arial"/>
        <w:b/>
        <w:color w:val="C9211E"/>
        <w:sz w:val="18"/>
        <w:szCs w:val="18"/>
        <w:shd w:fill="auto" w:val="clear"/>
        <w:lang w:val="pt-BR" w:bidi="ar-SA"/>
      </w:rPr>
      <w:t>e</w:t>
    </w:r>
    <w:r>
      <w:rPr>
        <w:rFonts w:cs="Verdana" w:ascii="Arial" w:hAnsi="Arial"/>
        <w:b/>
        <w:color w:val="C9211E"/>
        <w:sz w:val="18"/>
        <w:szCs w:val="18"/>
        <w:shd w:fill="auto" w:val="clear"/>
      </w:rPr>
      <w:t xml:space="preserve">-mail: </w:t>
    </w:r>
    <w:hyperlink r:id="rId2">
      <w:r>
        <w:rPr>
          <w:rFonts w:ascii="Arial" w:hAnsi="Arial"/>
          <w:b/>
          <w:bCs/>
          <w:i/>
          <w:iCs/>
          <w:color w:val="C9211E"/>
          <w:sz w:val="18"/>
          <w:szCs w:val="18"/>
          <w:u w:val="single"/>
          <w:shd w:fill="auto" w:val="clear"/>
          <w:lang w:val="zxx" w:eastAsia="zxx" w:bidi="zxx"/>
        </w:rPr>
        <w:t>pregaoeletronico@cianorte.pr.gov.br</w:t>
      </w:r>
    </w:hyperlink>
  </w:p>
  <w:p>
    <w:pPr>
      <w:pStyle w:val="Normal"/>
      <w:spacing w:lineRule="auto" w:line="240" w:before="0" w:after="0"/>
      <w:jc w:val="center"/>
      <w:rPr>
        <w:rFonts w:ascii="Arial" w:hAnsi="Arial"/>
        <w:color w:val="C9211E"/>
        <w:sz w:val="18"/>
        <w:szCs w:val="18"/>
        <w:shd w:fill="auto" w:val="clear"/>
      </w:rPr>
    </w:pPr>
    <w:r>
      <w:rPr>
        <w:rFonts w:cs="Verdana" w:ascii="Arial" w:hAnsi="Arial"/>
        <w:b/>
        <w:color w:val="C9211E"/>
        <w:sz w:val="18"/>
        <w:szCs w:val="18"/>
        <w:shd w:fill="auto" w:val="clear"/>
      </w:rPr>
      <w:t xml:space="preserve">Pregão Eletrônico nº </w:t>
    </w:r>
    <w:r>
      <w:rPr>
        <w:rFonts w:eastAsia="Times New Roman" w:cs="Verdana" w:ascii="Arial" w:hAnsi="Arial"/>
        <w:b/>
        <w:color w:val="FF0000"/>
        <w:sz w:val="18"/>
        <w:szCs w:val="18"/>
        <w:shd w:fill="auto" w:val="clear"/>
        <w:lang w:val="pt-BR" w:eastAsia="zh-CN" w:bidi="ar-SA"/>
      </w:rPr>
      <w:t>85/2025</w:t>
    </w:r>
    <w:r>
      <w:rPr>
        <w:rFonts w:cs="Verdana" w:ascii="Arial" w:hAnsi="Arial"/>
        <w:b/>
        <w:color w:val="BF0041"/>
        <w:sz w:val="18"/>
        <w:szCs w:val="18"/>
        <w:shd w:fill="auto" w:val="clear"/>
      </w:rPr>
      <w:t xml:space="preserve"> – P</w:t>
    </w:r>
    <w:r>
      <w:rPr>
        <w:rFonts w:cs="Verdana" w:ascii="Arial" w:hAnsi="Arial"/>
        <w:b/>
        <w:color w:val="C9211E"/>
        <w:sz w:val="18"/>
        <w:szCs w:val="18"/>
        <w:shd w:fill="auto" w:val="clear"/>
      </w:rPr>
      <w:t>rotocolo 6304/2025</w:t>
    </w:r>
  </w:p>
  <w:p>
    <w:pPr>
      <w:pStyle w:val="Corpodotexto"/>
      <w:spacing w:before="0" w:after="0"/>
      <w:jc w:val="center"/>
      <w:rPr>
        <w:rFonts w:ascii="Arial" w:hAnsi="Arial" w:cs="Verdana"/>
        <w:b/>
        <w:b/>
        <w:color w:val="C9211E"/>
        <w:sz w:val="18"/>
        <w:szCs w:val="18"/>
        <w:shd w:fill="auto" w:val="clear"/>
      </w:rPr>
    </w:pPr>
    <w:r>
      <w:rPr>
        <w:rFonts w:eastAsia="Times New Roman" w:cs="Verdana"/>
        <w:b/>
        <w:color w:val="C9211E"/>
        <w:sz w:val="18"/>
        <w:szCs w:val="18"/>
        <w:shd w:fill="auto" w:val="clear"/>
        <w:lang w:val="pt-BR" w:eastAsia="zh-CN" w:bidi="ar-SA"/>
      </w:rPr>
      <w:t>Processo 195/2025</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suff w:val="space"/>
      <w:lvlText w:val="%1."/>
      <w:lvlJc w:val="left"/>
      <w:pPr>
        <w:tabs>
          <w:tab w:val="num" w:pos="0"/>
        </w:tabs>
        <w:ind w:left="0" w:hanging="0"/>
      </w:pPr>
      <w:rPr>
        <w:sz w:val="19"/>
        <w:b/>
        <w:szCs w:val="19"/>
        <w:bCs/>
        <w:rFonts w:ascii="Arial" w:hAnsi="Arial"/>
        <w:color w:val="000000"/>
      </w:rPr>
    </w:lvl>
    <w:lvl w:ilvl="1">
      <w:start w:val="1"/>
      <w:numFmt w:val="decimal"/>
      <w:suff w:val="space"/>
      <w:lvlText w:val="%1.%2."/>
      <w:lvlJc w:val="left"/>
      <w:pPr>
        <w:tabs>
          <w:tab w:val="num" w:pos="0"/>
        </w:tabs>
        <w:ind w:left="0" w:hanging="0"/>
      </w:pPr>
      <w:rPr>
        <w:sz w:val="19"/>
        <w:b/>
        <w:szCs w:val="19"/>
        <w:bCs/>
        <w:rFonts w:ascii="Arial" w:hAnsi="Arial"/>
        <w:color w:val="000000"/>
      </w:rPr>
    </w:lvl>
    <w:lvl w:ilvl="2">
      <w:start w:val="1"/>
      <w:numFmt w:val="decimal"/>
      <w:suff w:val="space"/>
      <w:lvlText w:val="%1.%2.%3."/>
      <w:lvlJc w:val="left"/>
      <w:pPr>
        <w:tabs>
          <w:tab w:val="num" w:pos="0"/>
        </w:tabs>
        <w:ind w:left="113" w:hanging="0"/>
      </w:pPr>
      <w:rPr>
        <w:sz w:val="19"/>
        <w:b/>
        <w:szCs w:val="19"/>
        <w:bCs/>
        <w:rFonts w:ascii="Arial" w:hAnsi="Arial"/>
        <w:color w:val="000000"/>
      </w:rPr>
    </w:lvl>
    <w:lvl w:ilvl="3">
      <w:start w:val="1"/>
      <w:numFmt w:val="decimal"/>
      <w:suff w:val="space"/>
      <w:lvlText w:val="%1.%2.%3.%4."/>
      <w:lvlJc w:val="left"/>
      <w:pPr>
        <w:tabs>
          <w:tab w:val="num" w:pos="0"/>
        </w:tabs>
        <w:ind w:left="454" w:hanging="0"/>
      </w:pPr>
      <w:rPr>
        <w:sz w:val="19"/>
        <w:b/>
        <w:szCs w:val="19"/>
        <w:bCs/>
        <w:rFonts w:ascii="Arial" w:hAnsi="Arial"/>
        <w:color w:val="000000"/>
      </w:rPr>
    </w:lvl>
    <w:lvl w:ilvl="4">
      <w:start w:val="1"/>
      <w:numFmt w:val="bullet"/>
      <w:suff w:val="space"/>
      <w:lvlText w:val=""/>
      <w:lvlJc w:val="left"/>
      <w:pPr>
        <w:tabs>
          <w:tab w:val="num" w:pos="0"/>
        </w:tabs>
        <w:ind w:left="680" w:hanging="0"/>
      </w:pPr>
      <w:rPr>
        <w:rFonts w:ascii="Symbol" w:hAnsi="Symbol" w:cs="Symbol" w:hint="default"/>
        <w:b/>
        <w:bCs/>
      </w:rPr>
    </w:lvl>
    <w:lvl w:ilvl="5">
      <w:start w:val="1"/>
      <w:numFmt w:val="lowerLetter"/>
      <w:suff w:val="space"/>
      <w:lvlText w:val="%6)"/>
      <w:lvlJc w:val="left"/>
      <w:pPr>
        <w:tabs>
          <w:tab w:val="num" w:pos="0"/>
        </w:tabs>
        <w:ind w:left="454" w:hanging="0"/>
      </w:pPr>
      <w:rPr>
        <w:sz w:val="19"/>
        <w:b/>
        <w:szCs w:val="19"/>
        <w:bCs/>
        <w:rFonts w:ascii="Arial" w:hAnsi="Arial"/>
        <w:color w:val="000000"/>
      </w:rPr>
    </w:lvl>
    <w:lvl w:ilvl="6">
      <w:start w:val="1"/>
      <w:numFmt w:val="bullet"/>
      <w:suff w:val="space"/>
      <w:lvlText w:val=""/>
      <w:lvlJc w:val="left"/>
      <w:pPr>
        <w:tabs>
          <w:tab w:val="num" w:pos="0"/>
        </w:tabs>
        <w:ind w:left="1746" w:firstLine="210"/>
      </w:pPr>
      <w:rPr>
        <w:rFonts w:ascii="Symbol" w:hAnsi="Symbol" w:cs="Symbol" w:hint="default"/>
        <w:b/>
        <w:bCs/>
      </w:rPr>
    </w:lvl>
    <w:lvl w:ilvl="7">
      <w:start w:val="1"/>
      <w:numFmt w:val="decimal"/>
      <w:lvlText w:val="%8."/>
      <w:lvlJc w:val="left"/>
      <w:pPr>
        <w:tabs>
          <w:tab w:val="num" w:pos="3240"/>
        </w:tabs>
        <w:ind w:left="3240" w:hanging="360"/>
      </w:pPr>
      <w:rPr>
        <w:sz w:val="19"/>
        <w:b/>
        <w:szCs w:val="19"/>
        <w:bCs/>
        <w:rFonts w:ascii="Arial" w:hAnsi="Arial"/>
        <w:color w:val="000000"/>
      </w:rPr>
    </w:lvl>
    <w:lvl w:ilvl="8">
      <w:start w:val="1"/>
      <w:numFmt w:val="decimal"/>
      <w:lvlText w:val="%9."/>
      <w:lvlJc w:val="left"/>
      <w:pPr>
        <w:tabs>
          <w:tab w:val="num" w:pos="3600"/>
        </w:tabs>
        <w:ind w:left="3600" w:hanging="360"/>
      </w:pPr>
      <w:rPr>
        <w:sz w:val="19"/>
        <w:b/>
        <w:szCs w:val="19"/>
        <w:bCs/>
        <w:rFonts w:ascii="Arial" w:hAnsi="Arial"/>
        <w:color w:val="000000"/>
      </w:rPr>
    </w:lvl>
  </w:abstractNum>
  <w:abstractNum w:abstractNumId="5">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6">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7">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8">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9">
    <w:lvl w:ilvl="0">
      <w:start w:val="1"/>
      <w:numFmt w:val="decimal"/>
      <w:suff w:val="space"/>
      <w:lvlText w:val="%1."/>
      <w:lvlJc w:val="left"/>
      <w:pPr>
        <w:tabs>
          <w:tab w:val="num" w:pos="0"/>
        </w:tabs>
        <w:ind w:left="720" w:hanging="360"/>
      </w:pPr>
      <w:rPr>
        <w:sz w:val="19"/>
        <w:b/>
        <w:szCs w:val="19"/>
        <w:bCs/>
        <w:rFonts w:ascii="Arial" w:hAnsi="Arial"/>
        <w:color w:val="000000"/>
      </w:rPr>
    </w:lvl>
    <w:lvl w:ilvl="1">
      <w:start w:val="1"/>
      <w:numFmt w:val="decimal"/>
      <w:suff w:val="space"/>
      <w:lvlText w:val="%1.%2."/>
      <w:lvlJc w:val="left"/>
      <w:pPr>
        <w:tabs>
          <w:tab w:val="num" w:pos="0"/>
        </w:tabs>
        <w:ind w:left="1196" w:hanging="363"/>
      </w:pPr>
      <w:rPr>
        <w:sz w:val="19"/>
        <w:b/>
        <w:szCs w:val="19"/>
        <w:bCs/>
        <w:rFonts w:ascii="Arial" w:hAnsi="Arial"/>
        <w:color w:val="000000"/>
      </w:rPr>
    </w:lvl>
    <w:lvl w:ilvl="2">
      <w:start w:val="1"/>
      <w:numFmt w:val="decimal"/>
      <w:suff w:val="space"/>
      <w:lvlText w:val="%1.%2.%3."/>
      <w:lvlJc w:val="left"/>
      <w:pPr>
        <w:tabs>
          <w:tab w:val="num" w:pos="0"/>
        </w:tabs>
        <w:ind w:left="1440" w:hanging="360"/>
      </w:pPr>
      <w:rPr>
        <w:sz w:val="19"/>
        <w:b/>
        <w:szCs w:val="19"/>
        <w:bCs/>
        <w:rFonts w:ascii="Arial" w:hAnsi="Arial"/>
        <w:color w:val="000000"/>
      </w:rPr>
    </w:lvl>
    <w:lvl w:ilvl="3">
      <w:start w:val="1"/>
      <w:numFmt w:val="decimal"/>
      <w:suff w:val="space"/>
      <w:lvlText w:val="%1.%2.%3.%4."/>
      <w:lvlJc w:val="left"/>
      <w:pPr>
        <w:tabs>
          <w:tab w:val="num" w:pos="0"/>
        </w:tabs>
        <w:ind w:left="1800" w:hanging="360"/>
      </w:pPr>
      <w:rPr>
        <w:sz w:val="19"/>
        <w:b/>
        <w:szCs w:val="19"/>
        <w:bCs/>
        <w:rFonts w:ascii="Arial" w:hAnsi="Arial"/>
        <w:color w:val="000000"/>
      </w:rPr>
    </w:lvl>
    <w:lvl w:ilvl="4">
      <w:start w:val="1"/>
      <w:numFmt w:val="upperRoman"/>
      <w:suff w:val="space"/>
      <w:lvlText w:val="%5."/>
      <w:lvlJc w:val="left"/>
      <w:pPr>
        <w:tabs>
          <w:tab w:val="num" w:pos="0"/>
        </w:tabs>
        <w:ind w:left="2160" w:hanging="360"/>
      </w:pPr>
      <w:rPr>
        <w:sz w:val="19"/>
        <w:b/>
        <w:szCs w:val="19"/>
        <w:bCs/>
        <w:rFonts w:ascii="Arial" w:hAnsi="Arial"/>
        <w:color w:val="000000"/>
      </w:rPr>
    </w:lvl>
    <w:lvl w:ilvl="5">
      <w:start w:val="1"/>
      <w:numFmt w:val="lowerLetter"/>
      <w:suff w:val="space"/>
      <w:lvlText w:val="%6."/>
      <w:lvlJc w:val="left"/>
      <w:pPr>
        <w:tabs>
          <w:tab w:val="num" w:pos="0"/>
        </w:tabs>
        <w:ind w:left="2520" w:hanging="360"/>
      </w:pPr>
      <w:rPr>
        <w:sz w:val="19"/>
        <w:b/>
        <w:szCs w:val="19"/>
        <w:bCs/>
        <w:rFonts w:ascii="Arial" w:hAnsi="Arial"/>
        <w:color w:val="000000"/>
      </w:rPr>
    </w:lvl>
    <w:lvl w:ilvl="6">
      <w:start w:val="1"/>
      <w:numFmt w:val="decimal"/>
      <w:lvlText w:val="%7."/>
      <w:lvlJc w:val="left"/>
      <w:pPr>
        <w:tabs>
          <w:tab w:val="num" w:pos="2880"/>
        </w:tabs>
        <w:ind w:left="2880" w:hanging="360"/>
      </w:pPr>
      <w:rPr>
        <w:sz w:val="19"/>
        <w:b/>
        <w:szCs w:val="19"/>
        <w:bCs/>
        <w:rFonts w:ascii="Arial" w:hAnsi="Arial"/>
        <w:color w:val="000000"/>
      </w:rPr>
    </w:lvl>
    <w:lvl w:ilvl="7">
      <w:start w:val="1"/>
      <w:numFmt w:val="decimal"/>
      <w:lvlText w:val="%8."/>
      <w:lvlJc w:val="left"/>
      <w:pPr>
        <w:tabs>
          <w:tab w:val="num" w:pos="3240"/>
        </w:tabs>
        <w:ind w:left="3240" w:hanging="360"/>
      </w:pPr>
      <w:rPr>
        <w:sz w:val="19"/>
        <w:b/>
        <w:szCs w:val="19"/>
        <w:bCs/>
        <w:rFonts w:ascii="Arial" w:hAnsi="Arial"/>
        <w:color w:val="000000"/>
      </w:rPr>
    </w:lvl>
    <w:lvl w:ilvl="8">
      <w:start w:val="1"/>
      <w:numFmt w:val="decimal"/>
      <w:lvlText w:val="%9."/>
      <w:lvlJc w:val="left"/>
      <w:pPr>
        <w:tabs>
          <w:tab w:val="num" w:pos="3600"/>
        </w:tabs>
        <w:ind w:left="3600" w:hanging="360"/>
      </w:pPr>
      <w:rPr>
        <w:sz w:val="19"/>
        <w:b/>
        <w:szCs w:val="19"/>
        <w:bCs/>
        <w:rFonts w:ascii="Arial" w:hAnsi="Arial"/>
        <w:color w:val="000000"/>
      </w:rPr>
    </w:lvl>
  </w:abstractNum>
  <w:abstractNum w:abstractNumId="10">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OpenSymbol" w:hAnsi="OpenSymbol" w:cs="OpenSymbol" w:hint="default"/>
        <w:b/>
        <w:bCs/>
      </w:rPr>
    </w:lvl>
    <w:lvl w:ilvl="2">
      <w:start w:val="1"/>
      <w:numFmt w:val="bullet"/>
      <w:lvlText w:val="▪"/>
      <w:lvlJc w:val="left"/>
      <w:pPr>
        <w:tabs>
          <w:tab w:val="num" w:pos="1440"/>
        </w:tabs>
        <w:ind w:left="1440" w:hanging="360"/>
      </w:pPr>
      <w:rPr>
        <w:rFonts w:ascii="OpenSymbol" w:hAnsi="OpenSymbol" w:cs="Open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OpenSymbol" w:hAnsi="OpenSymbol" w:cs="OpenSymbol" w:hint="default"/>
        <w:b/>
        <w:bCs/>
      </w:rPr>
    </w:lvl>
    <w:lvl w:ilvl="5">
      <w:start w:val="1"/>
      <w:numFmt w:val="bullet"/>
      <w:lvlText w:val="▪"/>
      <w:lvlJc w:val="left"/>
      <w:pPr>
        <w:tabs>
          <w:tab w:val="num" w:pos="2520"/>
        </w:tabs>
        <w:ind w:left="2520" w:hanging="360"/>
      </w:pPr>
      <w:rPr>
        <w:rFonts w:ascii="OpenSymbol" w:hAnsi="OpenSymbol" w:cs="Open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OpenSymbol" w:hAnsi="OpenSymbol" w:cs="OpenSymbol" w:hint="default"/>
        <w:b/>
        <w:bCs/>
      </w:rPr>
    </w:lvl>
    <w:lvl w:ilvl="8">
      <w:start w:val="1"/>
      <w:numFmt w:val="bullet"/>
      <w:lvlText w:val="▪"/>
      <w:lvlJc w:val="left"/>
      <w:pPr>
        <w:tabs>
          <w:tab w:val="num" w:pos="3600"/>
        </w:tabs>
        <w:ind w:left="3600" w:hanging="360"/>
      </w:pPr>
      <w:rPr>
        <w:rFonts w:ascii="OpenSymbol" w:hAnsi="OpenSymbol" w:cs="OpenSymbol" w:hint="default"/>
        <w:b/>
        <w:bCs/>
      </w:rPr>
    </w:lvl>
  </w:abstractNum>
  <w:abstractNum w:abstractNumId="11">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Symbol" w:hAnsi="Symbol" w:cs="Symbol" w:hint="default"/>
        <w:b/>
        <w:bCs/>
      </w:rPr>
    </w:lvl>
    <w:lvl w:ilvl="2">
      <w:start w:val="1"/>
      <w:numFmt w:val="bullet"/>
      <w:lvlText w:val=""/>
      <w:lvlJc w:val="left"/>
      <w:pPr>
        <w:tabs>
          <w:tab w:val="num" w:pos="1440"/>
        </w:tabs>
        <w:ind w:left="1440" w:hanging="360"/>
      </w:pPr>
      <w:rPr>
        <w:rFonts w:ascii="Symbol" w:hAnsi="Symbol" w:cs="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Symbol" w:hAnsi="Symbol" w:cs="Symbol" w:hint="default"/>
        <w:b/>
        <w:bCs/>
      </w:rPr>
    </w:lvl>
    <w:lvl w:ilvl="5">
      <w:start w:val="1"/>
      <w:numFmt w:val="bullet"/>
      <w:lvlText w:val=""/>
      <w:lvlJc w:val="left"/>
      <w:pPr>
        <w:tabs>
          <w:tab w:val="num" w:pos="2520"/>
        </w:tabs>
        <w:ind w:left="2520" w:hanging="360"/>
      </w:pPr>
      <w:rPr>
        <w:rFonts w:ascii="Symbol" w:hAnsi="Symbol" w:cs="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Symbol" w:hAnsi="Symbol" w:cs="Symbol" w:hint="default"/>
        <w:b/>
        <w:bCs/>
      </w:rPr>
    </w:lvl>
    <w:lvl w:ilvl="8">
      <w:start w:val="1"/>
      <w:numFmt w:val="bullet"/>
      <w:lvlText w:val=""/>
      <w:lvlJc w:val="left"/>
      <w:pPr>
        <w:tabs>
          <w:tab w:val="num" w:pos="3600"/>
        </w:tabs>
        <w:ind w:left="3600" w:hanging="360"/>
      </w:pPr>
      <w:rPr>
        <w:rFonts w:ascii="Symbol" w:hAnsi="Symbol" w:cs="Symbol" w:hint="default"/>
        <w:b/>
        <w:bCs/>
      </w:rPr>
    </w:lvl>
  </w:abstractNum>
  <w:abstractNum w:abstractNumId="12">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Symbol" w:hAnsi="Symbol" w:cs="Symbol" w:hint="default"/>
        <w:b/>
        <w:bCs/>
      </w:rPr>
    </w:lvl>
    <w:lvl w:ilvl="2">
      <w:start w:val="1"/>
      <w:numFmt w:val="bullet"/>
      <w:lvlText w:val=""/>
      <w:lvlJc w:val="left"/>
      <w:pPr>
        <w:tabs>
          <w:tab w:val="num" w:pos="1440"/>
        </w:tabs>
        <w:ind w:left="1440" w:hanging="360"/>
      </w:pPr>
      <w:rPr>
        <w:rFonts w:ascii="Symbol" w:hAnsi="Symbol" w:cs="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Symbol" w:hAnsi="Symbol" w:cs="Symbol" w:hint="default"/>
        <w:b/>
        <w:bCs/>
      </w:rPr>
    </w:lvl>
    <w:lvl w:ilvl="5">
      <w:start w:val="1"/>
      <w:numFmt w:val="bullet"/>
      <w:lvlText w:val=""/>
      <w:lvlJc w:val="left"/>
      <w:pPr>
        <w:tabs>
          <w:tab w:val="num" w:pos="2520"/>
        </w:tabs>
        <w:ind w:left="2520" w:hanging="360"/>
      </w:pPr>
      <w:rPr>
        <w:rFonts w:ascii="Symbol" w:hAnsi="Symbol" w:cs="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Symbol" w:hAnsi="Symbol" w:cs="Symbol" w:hint="default"/>
        <w:b/>
        <w:bCs/>
      </w:rPr>
    </w:lvl>
    <w:lvl w:ilvl="8">
      <w:start w:val="1"/>
      <w:numFmt w:val="bullet"/>
      <w:lvlText w:val=""/>
      <w:lvlJc w:val="left"/>
      <w:pPr>
        <w:tabs>
          <w:tab w:val="num" w:pos="3600"/>
        </w:tabs>
        <w:ind w:left="3600" w:hanging="360"/>
      </w:pPr>
      <w:rPr>
        <w:rFonts w:ascii="Symbol" w:hAnsi="Symbol" w:cs="Symbol" w:hint="default"/>
        <w:b/>
        <w:bCs/>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2"/>
  </w:compat>
  <w:hyphenationZone w:val="360"/>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Mangal"/>
      <w:color w:val="auto"/>
      <w:kern w:val="2"/>
      <w:sz w:val="24"/>
      <w:szCs w:val="24"/>
      <w:lang w:val="pt-BR" w:eastAsia="zh-CN" w:bidi="hi-IN"/>
    </w:rPr>
  </w:style>
  <w:style w:type="paragraph" w:styleId="Ttulo1">
    <w:name w:val="Heading 1"/>
    <w:basedOn w:val="Ttulo"/>
    <w:next w:val="Corpodotexto"/>
    <w:qFormat/>
    <w:pPr>
      <w:pBdr>
        <w:top w:val="single" w:sz="2" w:space="1" w:color="000000"/>
        <w:left w:val="single" w:sz="2" w:space="1" w:color="000000"/>
        <w:bottom w:val="single" w:sz="2" w:space="1" w:color="000000"/>
        <w:right w:val="single" w:sz="2" w:space="1" w:color="000000"/>
      </w:pBdr>
      <w:shd w:val="clear" w:fill="EEEEEE"/>
      <w:spacing w:before="283" w:after="113"/>
      <w:jc w:val="center"/>
      <w:outlineLvl w:val="0"/>
    </w:pPr>
    <w:rPr>
      <w:rFonts w:ascii="Arial" w:hAnsi="Arial"/>
      <w:b/>
      <w:bCs/>
      <w:sz w:val="19"/>
      <w:szCs w:val="36"/>
    </w:rPr>
  </w:style>
  <w:style w:type="paragraph" w:styleId="Ttulo2">
    <w:name w:val="Heading 2"/>
    <w:basedOn w:val="Ttulo"/>
    <w:next w:val="Corpodotexto"/>
    <w:qFormat/>
    <w:pPr>
      <w:spacing w:lineRule="auto" w:line="240" w:before="57" w:after="57"/>
      <w:jc w:val="center"/>
      <w:outlineLvl w:val="1"/>
    </w:pPr>
    <w:rPr>
      <w:rFonts w:ascii="Arial" w:hAnsi="Arial"/>
      <w:b/>
      <w:bCs/>
      <w:sz w:val="19"/>
      <w:szCs w:val="19"/>
    </w:rPr>
  </w:style>
  <w:style w:type="paragraph" w:styleId="Ttulo3">
    <w:name w:val="Heading 3"/>
    <w:basedOn w:val="Ttulo"/>
    <w:next w:val="Corpodotexto"/>
    <w:qFormat/>
    <w:pPr>
      <w:spacing w:before="140" w:after="120"/>
      <w:jc w:val="center"/>
      <w:outlineLvl w:val="2"/>
    </w:pPr>
    <w:rPr>
      <w:rFonts w:ascii="Arial" w:hAnsi="Arial"/>
      <w:b w:val="false"/>
      <w:bCs/>
      <w:sz w:val="19"/>
      <w:szCs w:val="28"/>
    </w:rPr>
  </w:style>
  <w:style w:type="paragraph" w:styleId="Ttulo4">
    <w:name w:val="Heading 4"/>
    <w:basedOn w:val="Ttulo"/>
    <w:next w:val="Corpodotexto"/>
    <w:qFormat/>
    <w:pPr>
      <w:spacing w:before="120" w:after="120"/>
      <w:outlineLvl w:val="3"/>
    </w:pPr>
    <w:rPr>
      <w:b/>
      <w:bCs/>
      <w:i/>
      <w:iCs/>
      <w:sz w:val="26"/>
      <w:szCs w:val="26"/>
    </w:rPr>
  </w:style>
  <w:style w:type="character" w:styleId="LinkdaInternet">
    <w:name w:val="Link da Internet"/>
    <w:qFormat/>
    <w:rPr>
      <w:color w:val="000080"/>
      <w:u w:val="single"/>
    </w:rPr>
  </w:style>
  <w:style w:type="character" w:styleId="Linkdainternetvisitado">
    <w:name w:val="Link da internet visitado"/>
    <w:qFormat/>
    <w:rPr>
      <w:color w:val="800080"/>
      <w:u w:val="single"/>
    </w:rPr>
  </w:style>
  <w:style w:type="character" w:styleId="Smbolosdenumerao">
    <w:name w:val="Símbolos de numeração"/>
    <w:qFormat/>
    <w:rPr>
      <w:rFonts w:ascii="Arial" w:hAnsi="Arial"/>
      <w:b/>
      <w:bCs/>
      <w:color w:val="000000"/>
      <w:sz w:val="19"/>
      <w:szCs w:val="19"/>
    </w:rPr>
  </w:style>
  <w:style w:type="character" w:styleId="Marcadores">
    <w:name w:val="Marcadores"/>
    <w:qFormat/>
    <w:rPr>
      <w:rFonts w:ascii="OpenSymbol" w:hAnsi="OpenSymbol" w:eastAsia="OpenSymbol" w:cs="OpenSymbol"/>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jc w:val="both"/>
    </w:pPr>
    <w:rPr>
      <w:rFonts w:ascii="Arial" w:hAnsi="Arial"/>
      <w:sz w:val="19"/>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ption">
    <w:name w:val="caption"/>
    <w:basedOn w:val="Normal"/>
    <w:qFormat/>
    <w:pPr>
      <w:suppressLineNumbers/>
      <w:spacing w:before="120" w:after="120"/>
    </w:pPr>
    <w:rPr>
      <w:rFonts w:cs="Mangal"/>
      <w:i/>
      <w:iCs/>
      <w:sz w:val="24"/>
      <w:szCs w:val="24"/>
    </w:rPr>
  </w:style>
  <w:style w:type="paragraph" w:styleId="Contedodatabela">
    <w:name w:val="Conteúdo da tabela"/>
    <w:basedOn w:val="Normal"/>
    <w:qFormat/>
    <w:pPr>
      <w:suppressLineNumbers/>
    </w:pPr>
    <w:rPr/>
  </w:style>
  <w:style w:type="paragraph" w:styleId="Subttulo">
    <w:name w:val="Subtitle"/>
    <w:basedOn w:val="Ttulo"/>
    <w:next w:val="Corpodotexto"/>
    <w:qFormat/>
    <w:pPr>
      <w:spacing w:before="60" w:after="120"/>
      <w:jc w:val="center"/>
    </w:pPr>
    <w:rPr>
      <w:sz w:val="36"/>
      <w:szCs w:val="36"/>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
    <w:name w:val="Header"/>
    <w:basedOn w:val="CabealhoeRodap"/>
    <w:pPr>
      <w:suppressLineNumbers/>
    </w:pPr>
    <w:rPr/>
  </w:style>
  <w:style w:type="paragraph" w:styleId="Rodap">
    <w:name w:val="Footer"/>
    <w:basedOn w:val="CabealhoeRodap"/>
    <w:pPr>
      <w:suppressLineNumbers/>
    </w:pPr>
    <w:rPr/>
  </w:style>
  <w:style w:type="paragraph" w:styleId="Ttulodetabela">
    <w:name w:val="Título de tabela"/>
    <w:basedOn w:val="Contedodatabela"/>
    <w:qFormat/>
    <w:pPr>
      <w:suppressLineNumbers/>
      <w:jc w:val="center"/>
    </w:pPr>
    <w:rPr>
      <w:b/>
      <w:bCs/>
    </w:rPr>
  </w:style>
  <w:style w:type="paragraph" w:styleId="NormalWeb">
    <w:name w:val="Normal (Web)"/>
    <w:basedOn w:val="Normal"/>
    <w:qFormat/>
    <w:pPr>
      <w:spacing w:lineRule="auto" w:line="240" w:before="280" w:after="280"/>
    </w:pPr>
    <w:rPr>
      <w:rFonts w:ascii="Arial Unicode MS" w:hAnsi="Arial Unicode MS" w:eastAsia="Arial Unicode MS" w:cs="Arial Unicode MS"/>
      <w:sz w:val="24"/>
      <w:szCs w:val="24"/>
    </w:rPr>
  </w:style>
  <w:style w:type="paragraph" w:styleId="PargrafodaLista">
    <w:name w:val="Parágrafo da Lista"/>
    <w:basedOn w:val="Normal"/>
    <w:qFormat/>
    <w:pPr>
      <w:spacing w:before="0" w:after="200"/>
      <w:ind w:left="720" w:right="0" w:hanging="0"/>
      <w:contextualSpacing/>
    </w:pPr>
    <w:rPr/>
  </w:style>
  <w:style w:type="paragraph" w:styleId="Nivel2">
    <w:name w:val="Nivel 2"/>
    <w:basedOn w:val="Normal"/>
    <w:qFormat/>
    <w:pPr>
      <w:numPr>
        <w:ilvl w:val="0"/>
        <w:numId w:val="3"/>
      </w:numPr>
      <w:spacing w:lineRule="auto" w:line="276" w:before="120" w:after="120"/>
      <w:ind w:left="0" w:right="0" w:hanging="0"/>
      <w:jc w:val="both"/>
    </w:pPr>
    <w:rPr>
      <w:rFonts w:ascii="Arial" w:hAnsi="Arial" w:cs="Arial"/>
      <w:color w:val="000000"/>
      <w:sz w:val="20"/>
      <w:szCs w:val="20"/>
    </w:rPr>
  </w:style>
  <w:style w:type="paragraph" w:styleId="ListParagraph">
    <w:name w:val="List Paragraph"/>
    <w:basedOn w:val="Normal"/>
    <w:qFormat/>
    <w:pPr>
      <w:spacing w:before="0" w:after="0"/>
      <w:ind w:left="720" w:right="0" w:hanging="0"/>
      <w:contextualSpacing/>
    </w:pPr>
    <w:rPr/>
  </w:style>
  <w:style w:type="paragraph" w:styleId="Cabealhoesquerda">
    <w:name w:val="Cabeçalho à esquerda"/>
    <w:basedOn w:val="Cabealho"/>
    <w:qFormat/>
    <w:pPr>
      <w:suppressLineNumbers/>
    </w:pPr>
    <w:rPr/>
  </w:style>
  <w:style w:type="paragraph" w:styleId="Standard">
    <w:name w:val="Standard"/>
    <w:qFormat/>
    <w:pPr>
      <w:widowControl/>
      <w:suppressAutoHyphens w:val="true"/>
      <w:overflowPunct w:val="false"/>
      <w:bidi w:val="0"/>
      <w:spacing w:before="0" w:after="0"/>
      <w:jc w:val="left"/>
      <w:textAlignment w:val="baseline"/>
    </w:pPr>
    <w:rPr>
      <w:rFonts w:ascii="Liberation Serif" w:hAnsi="Liberation Serif" w:eastAsia="NSimSun" w:cs="Mangal"/>
      <w:color w:val="auto"/>
      <w:kern w:val="2"/>
      <w:sz w:val="24"/>
      <w:szCs w:val="24"/>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mailto:pregaoeletronico@cianorte.pr.gov.br" TargetMode="External"/><Relationship Id="rId4" Type="http://schemas.openxmlformats.org/officeDocument/2006/relationships/hyperlink" Target="mailto:pregaoeletronico@cianorte.pr.gov.br" TargetMode="External"/><Relationship Id="rId5" Type="http://schemas.openxmlformats.org/officeDocument/2006/relationships/hyperlink" Target="mailto:pregaoeletronico@cianorte.pr.gov.br" TargetMode="External"/><Relationship Id="rId6" Type="http://schemas.openxmlformats.org/officeDocument/2006/relationships/hyperlink" Target="http://ip.cianorte.pr.gov.br:8082/portaltransparencia/licitacoes"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pregaoeletronico@cianorte.pr.gov.br" TargetMode="Externa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6451</TotalTime>
  <Application>LibreOffice/7.1.4.2$Windows_X86_64 LibreOffice_project/a529a4fab45b75fefc5b6226684193eb000654f6</Application>
  <AppVersion>15.0000</AppVersion>
  <Pages>25</Pages>
  <Words>14880</Words>
  <Characters>84920</Characters>
  <CharactersWithSpaces>98734</CharactersWithSpaces>
  <Paragraphs>690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2025-10-13T15:59:20Z</cp:lastPrinted>
  <dcterms:modified xsi:type="dcterms:W3CDTF">2025-10-13T15:59:25Z</dcterms:modified>
  <cp:revision>453</cp:revision>
  <dc:subject/>
  <dc:title/>
</cp:coreProperties>
</file>

<file path=docProps/custom.xml><?xml version="1.0" encoding="utf-8"?>
<Properties xmlns="http://schemas.openxmlformats.org/officeDocument/2006/custom-properties" xmlns:vt="http://schemas.openxmlformats.org/officeDocument/2006/docPropsVTypes"/>
</file>